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53939" w14:textId="7260A836" w:rsidR="00AB43F0" w:rsidRPr="002538C2" w:rsidRDefault="00CE5BA9" w:rsidP="00D24FDE">
      <w:pPr>
        <w:tabs>
          <w:tab w:val="left" w:pos="2025"/>
          <w:tab w:val="center" w:pos="4535"/>
        </w:tabs>
        <w:spacing w:after="120"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  <w:u w:val="single"/>
        </w:rPr>
        <w:t>DECRETO 91</w:t>
      </w:r>
      <w:r w:rsidR="00AB43F0" w:rsidRPr="002538C2">
        <w:rPr>
          <w:rFonts w:cs="Arial"/>
          <w:b/>
          <w:szCs w:val="24"/>
          <w:u w:val="single"/>
        </w:rPr>
        <w:t xml:space="preserve">, </w:t>
      </w:r>
      <w:r>
        <w:rPr>
          <w:rFonts w:cs="Arial"/>
          <w:b/>
          <w:szCs w:val="24"/>
          <w:u w:val="single"/>
        </w:rPr>
        <w:t>28 DE DEZEMBRO DE</w:t>
      </w:r>
      <w:proofErr w:type="gramStart"/>
      <w:r>
        <w:rPr>
          <w:rFonts w:cs="Arial"/>
          <w:b/>
          <w:szCs w:val="24"/>
          <w:u w:val="single"/>
        </w:rPr>
        <w:t xml:space="preserve"> </w:t>
      </w:r>
      <w:r w:rsidR="00AB43F0" w:rsidRPr="002538C2">
        <w:rPr>
          <w:rFonts w:cs="Arial"/>
          <w:b/>
          <w:szCs w:val="24"/>
          <w:u w:val="single"/>
        </w:rPr>
        <w:t xml:space="preserve"> </w:t>
      </w:r>
      <w:proofErr w:type="gramEnd"/>
      <w:r w:rsidR="00AB43F0" w:rsidRPr="002538C2">
        <w:rPr>
          <w:rFonts w:cs="Arial"/>
          <w:b/>
          <w:szCs w:val="24"/>
          <w:u w:val="single"/>
        </w:rPr>
        <w:t>2023</w:t>
      </w:r>
      <w:r w:rsidR="00AB43F0" w:rsidRPr="002538C2">
        <w:rPr>
          <w:rFonts w:cs="Arial"/>
          <w:b/>
          <w:szCs w:val="24"/>
        </w:rPr>
        <w:t>.</w:t>
      </w:r>
    </w:p>
    <w:p w14:paraId="23D1496D" w14:textId="77777777" w:rsidR="00AB43F0" w:rsidRPr="002538C2" w:rsidRDefault="00AB43F0" w:rsidP="00D24FDE">
      <w:pPr>
        <w:tabs>
          <w:tab w:val="left" w:pos="2025"/>
          <w:tab w:val="center" w:pos="4535"/>
        </w:tabs>
        <w:spacing w:after="120" w:line="360" w:lineRule="auto"/>
        <w:ind w:left="2127"/>
        <w:rPr>
          <w:rFonts w:cs="Arial"/>
          <w:szCs w:val="24"/>
        </w:rPr>
      </w:pPr>
    </w:p>
    <w:p w14:paraId="4B4F8F3B" w14:textId="288853A8" w:rsidR="00D24FDE" w:rsidRPr="002538C2" w:rsidRDefault="00D24FDE" w:rsidP="00D24FDE">
      <w:pPr>
        <w:spacing w:after="120" w:line="360" w:lineRule="auto"/>
        <w:ind w:left="2694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  <w:r w:rsidRPr="002538C2">
        <w:rPr>
          <w:rFonts w:eastAsia="Times New Roman" w:cs="Arial"/>
          <w:b/>
          <w:bCs/>
          <w:color w:val="000000"/>
          <w:szCs w:val="24"/>
          <w:lang w:eastAsia="pt-BR"/>
        </w:rPr>
        <w:t>EMENTA</w:t>
      </w:r>
      <w:r w:rsidRPr="002538C2">
        <w:rPr>
          <w:rFonts w:eastAsia="Times New Roman" w:cs="Arial"/>
          <w:color w:val="000000"/>
          <w:szCs w:val="24"/>
          <w:lang w:eastAsia="pt-BR"/>
        </w:rPr>
        <w:t xml:space="preserve">: </w:t>
      </w:r>
      <w:bookmarkStart w:id="0" w:name="_Hlk148363416"/>
      <w:r w:rsidRPr="002538C2">
        <w:rPr>
          <w:rFonts w:eastAsia="Times New Roman" w:cs="Arial"/>
          <w:color w:val="000000"/>
          <w:szCs w:val="24"/>
          <w:lang w:eastAsia="pt-BR"/>
        </w:rPr>
        <w:t xml:space="preserve">regulamenta o procedimento auxiliar de pré-qualificação </w:t>
      </w:r>
      <w:r w:rsidR="00AE5CC2" w:rsidRPr="002538C2">
        <w:rPr>
          <w:rFonts w:eastAsia="Times New Roman" w:cs="Arial"/>
          <w:color w:val="000000"/>
          <w:szCs w:val="24"/>
          <w:lang w:eastAsia="pt-BR"/>
        </w:rPr>
        <w:t>d</w:t>
      </w:r>
      <w:r w:rsidRPr="002538C2">
        <w:rPr>
          <w:rFonts w:eastAsia="Times New Roman" w:cs="Arial"/>
          <w:color w:val="000000"/>
          <w:szCs w:val="24"/>
          <w:lang w:eastAsia="pt-BR"/>
        </w:rPr>
        <w:t xml:space="preserve">as licitações públicas e </w:t>
      </w:r>
      <w:r w:rsidR="00AE5CC2" w:rsidRPr="002538C2">
        <w:rPr>
          <w:rFonts w:eastAsia="Times New Roman" w:cs="Arial"/>
          <w:color w:val="000000"/>
          <w:szCs w:val="24"/>
          <w:lang w:eastAsia="pt-BR"/>
        </w:rPr>
        <w:t>dos</w:t>
      </w:r>
      <w:r w:rsidRPr="002538C2">
        <w:rPr>
          <w:rFonts w:eastAsia="Times New Roman" w:cs="Arial"/>
          <w:color w:val="000000"/>
          <w:szCs w:val="24"/>
          <w:lang w:eastAsia="pt-BR"/>
        </w:rPr>
        <w:t xml:space="preserve"> contratos da A</w:t>
      </w:r>
      <w:r w:rsidRPr="002538C2">
        <w:rPr>
          <w:rFonts w:eastAsia="Times New Roman" w:cs="Arial"/>
          <w:color w:val="000000"/>
          <w:szCs w:val="24"/>
          <w:lang w:eastAsia="pt-BR"/>
        </w:rPr>
        <w:t>d</w:t>
      </w:r>
      <w:r w:rsidRPr="002538C2">
        <w:rPr>
          <w:rFonts w:eastAsia="Times New Roman" w:cs="Arial"/>
          <w:color w:val="000000"/>
          <w:szCs w:val="24"/>
          <w:lang w:eastAsia="pt-BR"/>
        </w:rPr>
        <w:t xml:space="preserve">ministração Pública </w:t>
      </w:r>
      <w:r w:rsidR="00AE5CC2" w:rsidRPr="002538C2">
        <w:rPr>
          <w:rFonts w:eastAsia="Times New Roman" w:cs="Arial"/>
          <w:color w:val="000000"/>
          <w:szCs w:val="24"/>
          <w:lang w:eastAsia="pt-BR"/>
        </w:rPr>
        <w:t>do</w:t>
      </w:r>
      <w:r w:rsidRPr="002538C2">
        <w:rPr>
          <w:rFonts w:eastAsia="Times New Roman" w:cs="Arial"/>
          <w:color w:val="000000"/>
          <w:szCs w:val="24"/>
          <w:lang w:eastAsia="pt-BR"/>
        </w:rPr>
        <w:t xml:space="preserve"> Poder Executivo Municipal.</w:t>
      </w:r>
    </w:p>
    <w:bookmarkEnd w:id="0"/>
    <w:p w14:paraId="28E3B331" w14:textId="77777777" w:rsidR="00AB43F0" w:rsidRPr="002538C2" w:rsidRDefault="00AB43F0" w:rsidP="00D24FDE">
      <w:pPr>
        <w:spacing w:after="120" w:line="360" w:lineRule="auto"/>
        <w:ind w:firstLine="1134"/>
        <w:rPr>
          <w:rFonts w:cs="Arial"/>
          <w:szCs w:val="24"/>
        </w:rPr>
      </w:pPr>
    </w:p>
    <w:p w14:paraId="425E1B91" w14:textId="2869398F" w:rsidR="00AB43F0" w:rsidRPr="002538C2" w:rsidRDefault="00AB43F0" w:rsidP="00D24FDE">
      <w:pPr>
        <w:spacing w:after="120" w:line="360" w:lineRule="auto"/>
        <w:ind w:firstLine="1134"/>
        <w:rPr>
          <w:rFonts w:eastAsia="Times New Roman" w:cs="Arial"/>
          <w:szCs w:val="24"/>
          <w:lang w:eastAsia="pt-BR"/>
        </w:rPr>
      </w:pPr>
      <w:r w:rsidRPr="002538C2">
        <w:rPr>
          <w:rFonts w:cs="Arial"/>
          <w:szCs w:val="24"/>
        </w:rPr>
        <w:t xml:space="preserve">O Prefeito Municipal de Santa Amélia, Estado do Paraná, </w:t>
      </w:r>
      <w:r w:rsidRPr="002538C2">
        <w:rPr>
          <w:rFonts w:cs="Arial"/>
          <w:b/>
          <w:bCs/>
          <w:szCs w:val="24"/>
        </w:rPr>
        <w:t>ANTÔNIO CARLOS TAMAIS</w:t>
      </w:r>
      <w:r w:rsidRPr="002538C2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e do </w:t>
      </w:r>
      <w:r w:rsidR="00790631" w:rsidRPr="002538C2">
        <w:rPr>
          <w:rFonts w:cs="Arial"/>
          <w:szCs w:val="24"/>
        </w:rPr>
        <w:t>art</w:t>
      </w:r>
      <w:r w:rsidR="00D24FDE" w:rsidRPr="002538C2">
        <w:rPr>
          <w:rFonts w:cs="Arial"/>
          <w:szCs w:val="24"/>
        </w:rPr>
        <w:t>. 80 d</w:t>
      </w:r>
      <w:r w:rsidRPr="002538C2">
        <w:rPr>
          <w:rFonts w:cs="Arial"/>
          <w:szCs w:val="24"/>
        </w:rPr>
        <w:t xml:space="preserve">a </w:t>
      </w:r>
      <w:r w:rsidRPr="002538C2">
        <w:rPr>
          <w:rFonts w:eastAsia="Times New Roman" w:cs="Arial"/>
          <w:szCs w:val="24"/>
          <w:lang w:eastAsia="pt-BR"/>
        </w:rPr>
        <w:t xml:space="preserve">lei federal nº 14.133/2021, </w:t>
      </w:r>
      <w:r w:rsidRPr="002538C2">
        <w:rPr>
          <w:rFonts w:cs="Arial"/>
          <w:szCs w:val="24"/>
        </w:rPr>
        <w:t xml:space="preserve">de Licitações e Contratos Administrativos, </w:t>
      </w:r>
      <w:r w:rsidRPr="002538C2">
        <w:rPr>
          <w:rFonts w:eastAsia="Times New Roman" w:cs="Arial"/>
          <w:b/>
          <w:bCs/>
          <w:szCs w:val="24"/>
          <w:lang w:eastAsia="pt-BR"/>
        </w:rPr>
        <w:t>D E C R E T A</w:t>
      </w:r>
      <w:r w:rsidRPr="002538C2">
        <w:rPr>
          <w:rFonts w:eastAsia="Times New Roman" w:cs="Arial"/>
          <w:szCs w:val="24"/>
          <w:lang w:eastAsia="pt-BR"/>
        </w:rPr>
        <w:t>:</w:t>
      </w:r>
    </w:p>
    <w:p w14:paraId="2F546F6E" w14:textId="77777777" w:rsidR="00AB43F0" w:rsidRPr="002538C2" w:rsidRDefault="00AB43F0" w:rsidP="00D24FDE">
      <w:pPr>
        <w:spacing w:after="120" w:line="360" w:lineRule="auto"/>
        <w:ind w:firstLine="570"/>
        <w:rPr>
          <w:rFonts w:eastAsia="Times New Roman" w:cs="Arial"/>
          <w:szCs w:val="24"/>
          <w:lang w:eastAsia="pt-BR"/>
        </w:rPr>
      </w:pPr>
    </w:p>
    <w:p w14:paraId="55439C10" w14:textId="77777777" w:rsidR="00AB43F0" w:rsidRPr="002538C2" w:rsidRDefault="00AB43F0" w:rsidP="00D24FDE">
      <w:pPr>
        <w:spacing w:after="12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2538C2">
        <w:rPr>
          <w:rFonts w:eastAsia="Times New Roman" w:cs="Arial"/>
          <w:b/>
          <w:bCs/>
          <w:szCs w:val="24"/>
          <w:lang w:eastAsia="pt-BR"/>
        </w:rPr>
        <w:t>CAPÍTULO I</w:t>
      </w:r>
    </w:p>
    <w:p w14:paraId="1DC6E822" w14:textId="77777777" w:rsidR="00AB43F0" w:rsidRPr="002538C2" w:rsidRDefault="00AB43F0" w:rsidP="00D24FDE">
      <w:pPr>
        <w:spacing w:after="120" w:line="360" w:lineRule="auto"/>
        <w:jc w:val="center"/>
        <w:rPr>
          <w:rFonts w:eastAsia="Times New Roman" w:cs="Arial"/>
          <w:szCs w:val="24"/>
          <w:lang w:eastAsia="pt-BR"/>
        </w:rPr>
      </w:pPr>
      <w:r w:rsidRPr="002538C2">
        <w:rPr>
          <w:rFonts w:eastAsia="Times New Roman" w:cs="Arial"/>
          <w:szCs w:val="24"/>
          <w:lang w:eastAsia="pt-BR"/>
        </w:rPr>
        <w:t>DISPOSIÇÕES PRELIMINARES</w:t>
      </w:r>
    </w:p>
    <w:p w14:paraId="72C41D6A" w14:textId="77777777" w:rsidR="00AB43F0" w:rsidRPr="002538C2" w:rsidRDefault="00AB43F0" w:rsidP="00D24FDE">
      <w:pPr>
        <w:spacing w:after="12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2538C2">
        <w:rPr>
          <w:rFonts w:eastAsia="Times New Roman" w:cs="Arial"/>
          <w:b/>
          <w:bCs/>
          <w:szCs w:val="24"/>
          <w:lang w:eastAsia="pt-BR"/>
        </w:rPr>
        <w:t>SEÇÃO I</w:t>
      </w:r>
    </w:p>
    <w:p w14:paraId="68A96D22" w14:textId="77777777" w:rsidR="00AB43F0" w:rsidRPr="002538C2" w:rsidRDefault="00AB43F0" w:rsidP="00D24FDE">
      <w:pPr>
        <w:spacing w:after="120" w:line="360" w:lineRule="auto"/>
        <w:jc w:val="center"/>
        <w:rPr>
          <w:rFonts w:eastAsia="Times New Roman" w:cs="Arial"/>
          <w:szCs w:val="24"/>
          <w:lang w:eastAsia="pt-BR"/>
        </w:rPr>
      </w:pPr>
      <w:r w:rsidRPr="002538C2">
        <w:rPr>
          <w:rFonts w:eastAsia="Times New Roman" w:cs="Arial"/>
          <w:szCs w:val="24"/>
          <w:lang w:eastAsia="pt-BR"/>
        </w:rPr>
        <w:t>OBJETO E ÂMBITO DE APLICAÇÃO</w:t>
      </w:r>
    </w:p>
    <w:p w14:paraId="1BAA144A" w14:textId="77777777" w:rsidR="00AE5CC2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bookmarkStart w:id="1" w:name="art1"/>
      <w:bookmarkEnd w:id="1"/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1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 </w:t>
      </w:r>
      <w:r w:rsidRPr="002538C2">
        <w:rPr>
          <w:rFonts w:ascii="Arial" w:hAnsi="Arial" w:cs="Arial"/>
          <w:color w:val="1E1E1E"/>
        </w:rPr>
        <w:t>Este Decreto</w:t>
      </w:r>
      <w:r w:rsidR="00AE5CC2" w:rsidRPr="002538C2">
        <w:rPr>
          <w:rFonts w:ascii="Arial" w:hAnsi="Arial" w:cs="Arial"/>
          <w:color w:val="1E1E1E"/>
        </w:rPr>
        <w:t xml:space="preserve"> </w:t>
      </w:r>
      <w:r w:rsidR="00AE5CC2" w:rsidRPr="002538C2">
        <w:rPr>
          <w:rFonts w:ascii="Arial" w:hAnsi="Arial" w:cs="Arial"/>
          <w:color w:val="000000"/>
        </w:rPr>
        <w:t>regulamenta o procedimento auxiliar de pré-qualificação das licitações públicas e contratos da Administração Pública do Poder Executivo Munic</w:t>
      </w:r>
      <w:r w:rsidR="00AE5CC2" w:rsidRPr="002538C2">
        <w:rPr>
          <w:rFonts w:ascii="Arial" w:hAnsi="Arial" w:cs="Arial"/>
          <w:color w:val="000000"/>
        </w:rPr>
        <w:t>i</w:t>
      </w:r>
      <w:r w:rsidR="00AE5CC2" w:rsidRPr="002538C2">
        <w:rPr>
          <w:rFonts w:ascii="Arial" w:hAnsi="Arial" w:cs="Arial"/>
          <w:color w:val="000000"/>
        </w:rPr>
        <w:t>pal.</w:t>
      </w:r>
    </w:p>
    <w:p w14:paraId="370661CE" w14:textId="7509ACFC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2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 </w:t>
      </w:r>
      <w:r w:rsidR="0026197E" w:rsidRPr="002538C2">
        <w:rPr>
          <w:rFonts w:ascii="Arial" w:hAnsi="Arial" w:cs="Arial"/>
          <w:color w:val="1E1E1E"/>
        </w:rPr>
        <w:t>A</w:t>
      </w:r>
      <w:r w:rsidRPr="002538C2">
        <w:rPr>
          <w:rFonts w:ascii="Arial" w:hAnsi="Arial" w:cs="Arial"/>
          <w:color w:val="1E1E1E"/>
        </w:rPr>
        <w:t xml:space="preserve"> pré-qualificação é o procedimento seletivo prévio à licitação, convocado por meio de edital, destinado à análise das condições de habilitação, total ou parcial, dos interessados ou do objeto.</w:t>
      </w:r>
    </w:p>
    <w:p w14:paraId="0AE2E6FE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1º</w:t>
      </w:r>
      <w:r w:rsidRPr="002538C2">
        <w:rPr>
          <w:rFonts w:ascii="Arial" w:hAnsi="Arial" w:cs="Arial"/>
          <w:color w:val="1E1E1E"/>
        </w:rPr>
        <w:t> A pré-qualificação selecionará previamente:</w:t>
      </w:r>
    </w:p>
    <w:p w14:paraId="3DC458DE" w14:textId="2B6E03AD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26197E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Licitantes que reúnam condições de habilitação para participar de futura licitação ou de licitação vinculada a programas de obras ou de serviços objetivamente defin</w:t>
      </w:r>
      <w:r w:rsidRPr="002538C2">
        <w:rPr>
          <w:rFonts w:ascii="Arial" w:hAnsi="Arial" w:cs="Arial"/>
          <w:color w:val="1E1E1E"/>
        </w:rPr>
        <w:t>i</w:t>
      </w:r>
      <w:r w:rsidRPr="002538C2">
        <w:rPr>
          <w:rFonts w:ascii="Arial" w:hAnsi="Arial" w:cs="Arial"/>
          <w:color w:val="1E1E1E"/>
        </w:rPr>
        <w:t>dos;</w:t>
      </w:r>
    </w:p>
    <w:p w14:paraId="30921823" w14:textId="48F116DE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lastRenderedPageBreak/>
        <w:t>II –</w:t>
      </w:r>
      <w:r w:rsidR="0026197E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Bens que atendam às exigências técnicas ou de qualidade estabelecidas pela Administração.</w:t>
      </w:r>
    </w:p>
    <w:p w14:paraId="6FB4C83C" w14:textId="7ED724D9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§ </w:t>
      </w:r>
      <w:r w:rsidR="0026197E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2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A pré-qualificação poderá ser realizada em grupos ou segmentos, segundo as especialidades dos fornecedores.</w:t>
      </w:r>
    </w:p>
    <w:p w14:paraId="0572979E" w14:textId="0378EFBE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§ </w:t>
      </w:r>
      <w:r w:rsidR="0026197E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3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A pré-qualificação poderá ser parcial ou total, com alguns ou todos os requisitos técnicos ou de habilitação necessários à contratação, assegurada, em qualquer h</w:t>
      </w:r>
      <w:r w:rsidRPr="002538C2">
        <w:rPr>
          <w:rFonts w:ascii="Arial" w:hAnsi="Arial" w:cs="Arial"/>
          <w:color w:val="1E1E1E"/>
        </w:rPr>
        <w:t>i</w:t>
      </w:r>
      <w:r w:rsidRPr="002538C2">
        <w:rPr>
          <w:rFonts w:ascii="Arial" w:hAnsi="Arial" w:cs="Arial"/>
          <w:color w:val="1E1E1E"/>
        </w:rPr>
        <w:t>pótese, a igualdade de condições entre os concorrentes.</w:t>
      </w:r>
    </w:p>
    <w:p w14:paraId="182F3895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3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O procedimento da pré-qualificação ocorrerá da seguinte forma:</w:t>
      </w:r>
    </w:p>
    <w:p w14:paraId="669A57BC" w14:textId="157FDCA5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 – </w:t>
      </w:r>
      <w:r w:rsidRPr="002538C2">
        <w:rPr>
          <w:rFonts w:ascii="Arial" w:hAnsi="Arial" w:cs="Arial"/>
          <w:color w:val="1E1E1E"/>
        </w:rPr>
        <w:t>Definição da pré-qualificação, conforme incisos do § 1º do art. 2º;</w:t>
      </w:r>
    </w:p>
    <w:p w14:paraId="4A24BC8F" w14:textId="4C8FA9D2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II – </w:t>
      </w:r>
      <w:r w:rsidRPr="002538C2">
        <w:rPr>
          <w:rFonts w:ascii="Arial" w:hAnsi="Arial" w:cs="Arial"/>
          <w:color w:val="1E1E1E"/>
        </w:rPr>
        <w:t>Justificativa para realização da pré-qualificação, informando objetivamente o m</w:t>
      </w:r>
      <w:r w:rsidRPr="002538C2">
        <w:rPr>
          <w:rFonts w:ascii="Arial" w:hAnsi="Arial" w:cs="Arial"/>
          <w:color w:val="1E1E1E"/>
        </w:rPr>
        <w:t>o</w:t>
      </w:r>
      <w:r w:rsidRPr="002538C2">
        <w:rPr>
          <w:rFonts w:ascii="Arial" w:hAnsi="Arial" w:cs="Arial"/>
          <w:color w:val="1E1E1E"/>
        </w:rPr>
        <w:t>tivo de não deixar para o momento do processo licitatório;</w:t>
      </w:r>
    </w:p>
    <w:p w14:paraId="7E629E0D" w14:textId="731F4099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Autorização da autoridade competente para abertura do procedimento de pré-qualificação;</w:t>
      </w:r>
    </w:p>
    <w:p w14:paraId="28564C57" w14:textId="78FA756F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IV – </w:t>
      </w:r>
      <w:r w:rsidRPr="002538C2">
        <w:rPr>
          <w:rFonts w:ascii="Arial" w:hAnsi="Arial" w:cs="Arial"/>
          <w:color w:val="1E1E1E"/>
        </w:rPr>
        <w:t>Elaboração de Edital de Chamamento Público, que conterá, </w:t>
      </w:r>
      <w:r w:rsidRPr="002538C2">
        <w:rPr>
          <w:rFonts w:ascii="Arial" w:hAnsi="Arial" w:cs="Arial"/>
          <w:color w:val="1E1E1E"/>
          <w:bdr w:val="none" w:sz="0" w:space="0" w:color="auto" w:frame="1"/>
        </w:rPr>
        <w:t>no mínimo, de acordo com cada hipótese prevista no art. 2º</w:t>
      </w:r>
      <w:r w:rsidRPr="002538C2">
        <w:rPr>
          <w:rFonts w:ascii="Arial" w:hAnsi="Arial" w:cs="Arial"/>
          <w:color w:val="1E1E1E"/>
        </w:rPr>
        <w:t>:</w:t>
      </w:r>
    </w:p>
    <w:p w14:paraId="11BB6393" w14:textId="4FBD4668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a)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Informações mínimas necessárias para definição do objeto;</w:t>
      </w:r>
    </w:p>
    <w:p w14:paraId="5CE7BA32" w14:textId="7DF852FF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b)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Modalidade, forma da futura licitação e os critérios de julgamento;</w:t>
      </w:r>
    </w:p>
    <w:p w14:paraId="40DEE80E" w14:textId="7B5909E8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c) </w:t>
      </w:r>
      <w:r w:rsidRPr="002538C2">
        <w:rPr>
          <w:rFonts w:ascii="Arial" w:hAnsi="Arial" w:cs="Arial"/>
          <w:color w:val="1E1E1E"/>
        </w:rPr>
        <w:t>Documentos para pré-qualificação a fim de demonstrar as condições de habilit</w:t>
      </w:r>
      <w:r w:rsidRPr="002538C2">
        <w:rPr>
          <w:rFonts w:ascii="Arial" w:hAnsi="Arial" w:cs="Arial"/>
          <w:color w:val="1E1E1E"/>
        </w:rPr>
        <w:t>a</w:t>
      </w:r>
      <w:r w:rsidRPr="002538C2">
        <w:rPr>
          <w:rFonts w:ascii="Arial" w:hAnsi="Arial" w:cs="Arial"/>
          <w:color w:val="1E1E1E"/>
        </w:rPr>
        <w:t>ção a serem cumpridas por licitantes ou as exigências técnicas ou de qualidades que precisam ser atendidas pelos bens;</w:t>
      </w:r>
    </w:p>
    <w:p w14:paraId="42793D66" w14:textId="7ADA5742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d)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A necessidade de amostra ou prova de conceito do bem;</w:t>
      </w:r>
    </w:p>
    <w:p w14:paraId="40354381" w14:textId="5BF126B5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e) </w:t>
      </w:r>
      <w:r w:rsidRPr="002538C2">
        <w:rPr>
          <w:rFonts w:ascii="Arial" w:hAnsi="Arial" w:cs="Arial"/>
          <w:color w:val="1E1E1E"/>
        </w:rPr>
        <w:t>Local/forma de apresentação dos documentos;</w:t>
      </w:r>
    </w:p>
    <w:p w14:paraId="566B7059" w14:textId="4440ABC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f)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Comissão técnica que fará avaliação;</w:t>
      </w:r>
    </w:p>
    <w:p w14:paraId="72C1E0EB" w14:textId="0A5D9D46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g)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Critérios de avaliação que a comissão técnica utilizará para análise dos docume</w:t>
      </w:r>
      <w:r w:rsidRPr="002538C2">
        <w:rPr>
          <w:rFonts w:ascii="Arial" w:hAnsi="Arial" w:cs="Arial"/>
          <w:color w:val="1E1E1E"/>
        </w:rPr>
        <w:t>n</w:t>
      </w:r>
      <w:r w:rsidRPr="002538C2">
        <w:rPr>
          <w:rFonts w:ascii="Arial" w:hAnsi="Arial" w:cs="Arial"/>
          <w:color w:val="1E1E1E"/>
        </w:rPr>
        <w:t>tos e, se for o caso, da amostra ou prova de conceito do bem, sendo que o julg</w:t>
      </w:r>
      <w:r w:rsidRPr="002538C2">
        <w:rPr>
          <w:rFonts w:ascii="Arial" w:hAnsi="Arial" w:cs="Arial"/>
          <w:color w:val="1E1E1E"/>
        </w:rPr>
        <w:t>a</w:t>
      </w:r>
      <w:r w:rsidRPr="002538C2">
        <w:rPr>
          <w:rFonts w:ascii="Arial" w:hAnsi="Arial" w:cs="Arial"/>
          <w:color w:val="1E1E1E"/>
        </w:rPr>
        <w:t>mento deverá observar, no que couber, o Capítulo V (Do Julgamento) do Título II (Das Licitações);</w:t>
      </w:r>
    </w:p>
    <w:p w14:paraId="12DE885E" w14:textId="4577C20D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lastRenderedPageBreak/>
        <w:t>V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Análise e emissão de parecer jurídico para controle prévio da legalidade;</w:t>
      </w:r>
    </w:p>
    <w:p w14:paraId="01FB28A8" w14:textId="7BD37759" w:rsidR="005A2700" w:rsidRPr="002538C2" w:rsidRDefault="00AB43F0" w:rsidP="005A270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VI –</w:t>
      </w:r>
      <w:r w:rsidR="005A2700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="005A2700" w:rsidRPr="002538C2">
        <w:rPr>
          <w:rFonts w:ascii="Arial" w:hAnsi="Arial" w:cs="Arial"/>
        </w:rPr>
        <w:t>Publicação e divulgação do Edital de Chamamento Público no Sítio Eletrônico Oficial do Município e, sempre que possível, no Portal Nacional de Compras Públ</w:t>
      </w:r>
      <w:r w:rsidR="005A2700" w:rsidRPr="002538C2">
        <w:rPr>
          <w:rFonts w:ascii="Arial" w:hAnsi="Arial" w:cs="Arial"/>
        </w:rPr>
        <w:t>i</w:t>
      </w:r>
      <w:r w:rsidR="005A2700" w:rsidRPr="002538C2">
        <w:rPr>
          <w:rFonts w:ascii="Arial" w:hAnsi="Arial" w:cs="Arial"/>
        </w:rPr>
        <w:t>cas – PNCP, devendo ainda ser mantido à disposição do público, nos termos do art. 176, III, parágrafo único, I e II, da lei federal nº 14.133/2023;</w:t>
      </w:r>
    </w:p>
    <w:p w14:paraId="00581E7E" w14:textId="49C877AC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VII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Feita a apresentação de documentos, deverá a Comissão examiná-los no pr</w:t>
      </w:r>
      <w:r w:rsidRPr="002538C2">
        <w:rPr>
          <w:rFonts w:ascii="Arial" w:hAnsi="Arial" w:cs="Arial"/>
          <w:color w:val="1E1E1E"/>
        </w:rPr>
        <w:t>a</w:t>
      </w:r>
      <w:r w:rsidRPr="002538C2">
        <w:rPr>
          <w:rFonts w:ascii="Arial" w:hAnsi="Arial" w:cs="Arial"/>
          <w:color w:val="1E1E1E"/>
        </w:rPr>
        <w:t>zo máximo de 10 (dez) dias úteis e determinar correção ou reapresentação de d</w:t>
      </w:r>
      <w:r w:rsidRPr="002538C2">
        <w:rPr>
          <w:rFonts w:ascii="Arial" w:hAnsi="Arial" w:cs="Arial"/>
          <w:color w:val="1E1E1E"/>
        </w:rPr>
        <w:t>o</w:t>
      </w:r>
      <w:r w:rsidRPr="002538C2">
        <w:rPr>
          <w:rFonts w:ascii="Arial" w:hAnsi="Arial" w:cs="Arial"/>
          <w:color w:val="1E1E1E"/>
        </w:rPr>
        <w:t>cumentos, quando for o caso, com vistas à ampliação da competição;</w:t>
      </w:r>
    </w:p>
    <w:p w14:paraId="4F967075" w14:textId="62C3DC26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VIII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A análise pela Comissão deverá ser registrada em ata, com texto objetivo e técnico, discorrendo sobre os critérios de avaliação previstos no edital, devendo ao final ser assinada pela comissão e pelos demais participantes, se for o caso;</w:t>
      </w:r>
    </w:p>
    <w:p w14:paraId="59652A8C" w14:textId="019A6D61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IX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Para aceitação da pré-qualificação, a Comissão deverá elaborar parecer técnico fundamentado com a demonstração e garantia que o procedimento da pré-qualificação é adequado e suficiente, de que as premissas adotadas são compat</w:t>
      </w:r>
      <w:r w:rsidRPr="002538C2">
        <w:rPr>
          <w:rFonts w:ascii="Arial" w:hAnsi="Arial" w:cs="Arial"/>
          <w:color w:val="1E1E1E"/>
        </w:rPr>
        <w:t>í</w:t>
      </w:r>
      <w:r w:rsidRPr="002538C2">
        <w:rPr>
          <w:rFonts w:ascii="Arial" w:hAnsi="Arial" w:cs="Arial"/>
          <w:color w:val="1E1E1E"/>
        </w:rPr>
        <w:t>veis com o anseio da Administração Pública Municipal e de que a metodologia pr</w:t>
      </w:r>
      <w:r w:rsidRPr="002538C2">
        <w:rPr>
          <w:rFonts w:ascii="Arial" w:hAnsi="Arial" w:cs="Arial"/>
          <w:color w:val="1E1E1E"/>
        </w:rPr>
        <w:t>o</w:t>
      </w:r>
      <w:r w:rsidRPr="002538C2">
        <w:rPr>
          <w:rFonts w:ascii="Arial" w:hAnsi="Arial" w:cs="Arial"/>
          <w:color w:val="1E1E1E"/>
        </w:rPr>
        <w:t>posta para pré-qualificação é a que propicia maior segurança técnica entre as d</w:t>
      </w:r>
      <w:r w:rsidRPr="002538C2">
        <w:rPr>
          <w:rFonts w:ascii="Arial" w:hAnsi="Arial" w:cs="Arial"/>
          <w:color w:val="1E1E1E"/>
        </w:rPr>
        <w:t>e</w:t>
      </w:r>
      <w:r w:rsidRPr="002538C2">
        <w:rPr>
          <w:rFonts w:ascii="Arial" w:hAnsi="Arial" w:cs="Arial"/>
          <w:color w:val="1E1E1E"/>
        </w:rPr>
        <w:t>mais possíveis, devendo o parecer ser publicado nos mesmos termos do edital;</w:t>
      </w:r>
    </w:p>
    <w:p w14:paraId="191E1042" w14:textId="71BBD883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X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Homologação pela autoridade competente quanto ao parecer da Comissão, d</w:t>
      </w:r>
      <w:r w:rsidRPr="002538C2">
        <w:rPr>
          <w:rFonts w:ascii="Arial" w:hAnsi="Arial" w:cs="Arial"/>
          <w:color w:val="1E1E1E"/>
        </w:rPr>
        <w:t>e</w:t>
      </w:r>
      <w:r w:rsidRPr="002538C2">
        <w:rPr>
          <w:rFonts w:ascii="Arial" w:hAnsi="Arial" w:cs="Arial"/>
          <w:color w:val="1E1E1E"/>
        </w:rPr>
        <w:t>vendo a homologação ser publicada nos mesmos termos do edital;</w:t>
      </w:r>
    </w:p>
    <w:p w14:paraId="31626DD3" w14:textId="14B9352B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XI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Os licitantes e os bens pré-qualificados serão obrigatoriamente divulgados e mantidos à disposição do público;</w:t>
      </w:r>
    </w:p>
    <w:p w14:paraId="281BF3D2" w14:textId="55481C2B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XII – </w:t>
      </w:r>
      <w:r w:rsidRPr="002538C2">
        <w:rPr>
          <w:rFonts w:ascii="Arial" w:hAnsi="Arial" w:cs="Arial"/>
          <w:color w:val="1E1E1E"/>
        </w:rPr>
        <w:t>Os bens e os serviços pré-qualificados deverão integrar o catálogo de bens e serviços da Administração.</w:t>
      </w:r>
    </w:p>
    <w:p w14:paraId="536593A8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1º </w:t>
      </w:r>
      <w:r w:rsidRPr="002538C2">
        <w:rPr>
          <w:rFonts w:ascii="Arial" w:hAnsi="Arial" w:cs="Arial"/>
          <w:color w:val="1E1E1E"/>
        </w:rPr>
        <w:t>Na pré-qualificação observar-se-á o seguinte:</w:t>
      </w:r>
    </w:p>
    <w:p w14:paraId="7ADE8219" w14:textId="65446AC9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Quando aberta a licitantes, poderão ser dispensados os documentos que já con</w:t>
      </w:r>
      <w:r w:rsidRPr="002538C2">
        <w:rPr>
          <w:rFonts w:ascii="Arial" w:hAnsi="Arial" w:cs="Arial"/>
          <w:color w:val="1E1E1E"/>
        </w:rPr>
        <w:t>s</w:t>
      </w:r>
      <w:r w:rsidRPr="002538C2">
        <w:rPr>
          <w:rFonts w:ascii="Arial" w:hAnsi="Arial" w:cs="Arial"/>
          <w:color w:val="1E1E1E"/>
        </w:rPr>
        <w:t>tarem do registro cadastral;</w:t>
      </w:r>
    </w:p>
    <w:p w14:paraId="4531F2C4" w14:textId="21AAF985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II – </w:t>
      </w:r>
      <w:r w:rsidRPr="002538C2">
        <w:rPr>
          <w:rFonts w:ascii="Arial" w:hAnsi="Arial" w:cs="Arial"/>
          <w:color w:val="1E1E1E"/>
        </w:rPr>
        <w:t>Quando aberta a bens, poderá ser exigida a comprovação de qualidade.</w:t>
      </w:r>
    </w:p>
    <w:p w14:paraId="283B2272" w14:textId="5C557808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lastRenderedPageBreak/>
        <w:t>§ 2º </w:t>
      </w:r>
      <w:r w:rsidRPr="002538C2">
        <w:rPr>
          <w:rFonts w:ascii="Arial" w:hAnsi="Arial" w:cs="Arial"/>
          <w:color w:val="1E1E1E"/>
        </w:rPr>
        <w:t>O procedimento de pré-qualificação ficará permanentemente aberto para a in</w:t>
      </w:r>
      <w:r w:rsidRPr="002538C2">
        <w:rPr>
          <w:rFonts w:ascii="Arial" w:hAnsi="Arial" w:cs="Arial"/>
          <w:color w:val="1E1E1E"/>
        </w:rPr>
        <w:t>s</w:t>
      </w:r>
      <w:r w:rsidRPr="002538C2">
        <w:rPr>
          <w:rFonts w:ascii="Arial" w:hAnsi="Arial" w:cs="Arial"/>
          <w:color w:val="1E1E1E"/>
        </w:rPr>
        <w:t>crição de interessados.</w:t>
      </w:r>
    </w:p>
    <w:p w14:paraId="2A7EBE12" w14:textId="5B1FD403" w:rsidR="00B66803" w:rsidRPr="002538C2" w:rsidRDefault="00B66803" w:rsidP="00B66803">
      <w:pPr>
        <w:spacing w:after="80" w:line="360" w:lineRule="auto"/>
        <w:rPr>
          <w:rFonts w:cs="Arial"/>
          <w:szCs w:val="24"/>
        </w:rPr>
      </w:pPr>
      <w:r w:rsidRPr="002538C2">
        <w:rPr>
          <w:rFonts w:cs="Arial"/>
          <w:szCs w:val="24"/>
        </w:rPr>
        <w:t>§ 3º Até a publicação deste Decreto, se o Município não se adequar ao Portal Nac</w:t>
      </w:r>
      <w:r w:rsidRPr="002538C2">
        <w:rPr>
          <w:rFonts w:cs="Arial"/>
          <w:szCs w:val="24"/>
        </w:rPr>
        <w:t>i</w:t>
      </w:r>
      <w:r w:rsidRPr="002538C2">
        <w:rPr>
          <w:rFonts w:cs="Arial"/>
          <w:szCs w:val="24"/>
        </w:rPr>
        <w:t>onal de Contratações Públicas – PNCP, a publicação referida no inciso VI do “caput” deverá ser realizada conforme dinos termos do art. 176, III, parágrafo único, I e II, da lei federal nº 14.133/2021.</w:t>
      </w:r>
    </w:p>
    <w:p w14:paraId="7FA52FB3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4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A pré-qualificação de licitante:</w:t>
      </w:r>
    </w:p>
    <w:p w14:paraId="7F23E062" w14:textId="78E1D97E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Não o define vencedor do processo licitatório;</w:t>
      </w:r>
    </w:p>
    <w:p w14:paraId="1E640145" w14:textId="4DE82A73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II – </w:t>
      </w:r>
      <w:r w:rsidRPr="002538C2">
        <w:rPr>
          <w:rFonts w:ascii="Arial" w:hAnsi="Arial" w:cs="Arial"/>
          <w:color w:val="1E1E1E"/>
        </w:rPr>
        <w:t>Não atribuirá direito de preferência;</w:t>
      </w:r>
    </w:p>
    <w:p w14:paraId="7D917CAB" w14:textId="523CC172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Não implicará em pagamento/remuneração, nem mesmo ressarcimento de qualquer gasto para a realização da pré-qualificação;</w:t>
      </w:r>
    </w:p>
    <w:p w14:paraId="5168ACB3" w14:textId="3C810BE6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IV – </w:t>
      </w:r>
      <w:r w:rsidRPr="002538C2">
        <w:rPr>
          <w:rFonts w:ascii="Arial" w:hAnsi="Arial" w:cs="Arial"/>
          <w:color w:val="1E1E1E"/>
        </w:rPr>
        <w:t>Não o torna contratado.</w:t>
      </w:r>
    </w:p>
    <w:p w14:paraId="37B61D2E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5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A pré-qualificação de bem:</w:t>
      </w:r>
    </w:p>
    <w:p w14:paraId="608A327E" w14:textId="59D02872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 – </w:t>
      </w:r>
      <w:r w:rsidRPr="002538C2">
        <w:rPr>
          <w:rFonts w:ascii="Arial" w:hAnsi="Arial" w:cs="Arial"/>
          <w:color w:val="1E1E1E"/>
        </w:rPr>
        <w:t>Não implicará em ressarcimento de qualquer gasto para a realização da pré-qualificação, inclusive se solicitada amostra ou prova de conceito do bem.</w:t>
      </w:r>
    </w:p>
    <w:p w14:paraId="30C0023C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6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Quanto ao prazo, a pré-qualificação terá validade:</w:t>
      </w:r>
    </w:p>
    <w:p w14:paraId="5122984E" w14:textId="2F66FC08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I – </w:t>
      </w:r>
      <w:r w:rsidRPr="002538C2">
        <w:rPr>
          <w:rFonts w:ascii="Arial" w:hAnsi="Arial" w:cs="Arial"/>
          <w:color w:val="1E1E1E"/>
        </w:rPr>
        <w:t>De 1 (um) ano, no máximo, e poderá ser atualizada a qualquer tempo;</w:t>
      </w:r>
    </w:p>
    <w:p w14:paraId="7F073EE3" w14:textId="77777777" w:rsidR="007E48C8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Não superior ao prazo de validade dos documentos apresentados pelos intere</w:t>
      </w:r>
      <w:r w:rsidRPr="002538C2">
        <w:rPr>
          <w:rFonts w:ascii="Arial" w:hAnsi="Arial" w:cs="Arial"/>
          <w:color w:val="1E1E1E"/>
        </w:rPr>
        <w:t>s</w:t>
      </w:r>
      <w:r w:rsidRPr="002538C2">
        <w:rPr>
          <w:rFonts w:ascii="Arial" w:hAnsi="Arial" w:cs="Arial"/>
          <w:color w:val="1E1E1E"/>
        </w:rPr>
        <w:t>sados.</w:t>
      </w:r>
    </w:p>
    <w:p w14:paraId="3D960D20" w14:textId="608F9300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7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A licitação que se seguir ao procedimento da pré-qualificação poderá ser re</w:t>
      </w:r>
      <w:r w:rsidRPr="002538C2">
        <w:rPr>
          <w:rFonts w:ascii="Arial" w:hAnsi="Arial" w:cs="Arial"/>
          <w:color w:val="1E1E1E"/>
        </w:rPr>
        <w:t>s</w:t>
      </w:r>
      <w:r w:rsidRPr="002538C2">
        <w:rPr>
          <w:rFonts w:ascii="Arial" w:hAnsi="Arial" w:cs="Arial"/>
          <w:color w:val="1E1E1E"/>
        </w:rPr>
        <w:t>trita a licitantes ou bens pré-qualificados.</w:t>
      </w:r>
    </w:p>
    <w:p w14:paraId="40824DD5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8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Conforme art. 165 da Lei Federal nº 14.133/2021, cabe:</w:t>
      </w:r>
    </w:p>
    <w:p w14:paraId="61F0A99C" w14:textId="7602B708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Recurso, no prazo de 3 (três) dias úteis, contado da data de intimação ou de l</w:t>
      </w:r>
      <w:r w:rsidRPr="002538C2">
        <w:rPr>
          <w:rFonts w:ascii="Arial" w:hAnsi="Arial" w:cs="Arial"/>
          <w:color w:val="1E1E1E"/>
        </w:rPr>
        <w:t>a</w:t>
      </w:r>
      <w:r w:rsidRPr="002538C2">
        <w:rPr>
          <w:rFonts w:ascii="Arial" w:hAnsi="Arial" w:cs="Arial"/>
          <w:color w:val="1E1E1E"/>
        </w:rPr>
        <w:t>vratura da ata, em face de ato que defira ou indefira pedido de pré-qualificação de interessado, sua alteração ou cancelamento;</w:t>
      </w:r>
    </w:p>
    <w:p w14:paraId="68A7BF94" w14:textId="1C2BA4CF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II –</w:t>
      </w:r>
      <w:r w:rsidR="007E48C8"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2538C2">
        <w:rPr>
          <w:rFonts w:ascii="Arial" w:hAnsi="Arial" w:cs="Arial"/>
          <w:color w:val="1E1E1E"/>
        </w:rPr>
        <w:t>Pedido de reconsideração, no prazo de 3 (três) dias úteis, contado da data de intimação, relativamente a ato do qual não caiba recurso.</w:t>
      </w:r>
    </w:p>
    <w:p w14:paraId="066D7EEA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lastRenderedPageBreak/>
        <w:t>§ 1º</w:t>
      </w:r>
      <w:r w:rsidRPr="002538C2">
        <w:rPr>
          <w:rFonts w:ascii="Arial" w:hAnsi="Arial" w:cs="Arial"/>
          <w:color w:val="1E1E1E"/>
        </w:rPr>
        <w:t> O recurso de que trata o inciso I será dirigido à autoridade que tiver editado o ato ou proferido a decisão recorrida, que, se não reconsiderar o ato ou a decisão no prazo de 3 (três) dias úteis, encaminhará o recurso com a sua motivação à autorid</w:t>
      </w:r>
      <w:r w:rsidRPr="002538C2">
        <w:rPr>
          <w:rFonts w:ascii="Arial" w:hAnsi="Arial" w:cs="Arial"/>
          <w:color w:val="1E1E1E"/>
        </w:rPr>
        <w:t>a</w:t>
      </w:r>
      <w:r w:rsidRPr="002538C2">
        <w:rPr>
          <w:rFonts w:ascii="Arial" w:hAnsi="Arial" w:cs="Arial"/>
          <w:color w:val="1E1E1E"/>
        </w:rPr>
        <w:t>de superior, a qual deverá proferir sua decisão no prazo máximo de 10 (dez) dias úteis, contado do recebimento dos autos.</w:t>
      </w:r>
    </w:p>
    <w:p w14:paraId="31AA8AEF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2º</w:t>
      </w:r>
      <w:r w:rsidRPr="002538C2">
        <w:rPr>
          <w:rFonts w:ascii="Arial" w:hAnsi="Arial" w:cs="Arial"/>
          <w:color w:val="1E1E1E"/>
        </w:rPr>
        <w:t> O acolhimento do recurso de que trata o inciso I implicará invalidação apenas de ato insuscetível de aproveitamento.</w:t>
      </w:r>
    </w:p>
    <w:p w14:paraId="76A0C7F1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3º</w:t>
      </w:r>
      <w:r w:rsidRPr="002538C2">
        <w:rPr>
          <w:rFonts w:ascii="Arial" w:hAnsi="Arial" w:cs="Arial"/>
          <w:color w:val="1E1E1E"/>
        </w:rPr>
        <w:t> O prazo para apresentação de contrarrazões será o mesmo do recurso e terá início na data de intimação pessoal ou de divulgação da interposição do recurso.</w:t>
      </w:r>
    </w:p>
    <w:p w14:paraId="11234F95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4º</w:t>
      </w:r>
      <w:r w:rsidRPr="002538C2">
        <w:rPr>
          <w:rFonts w:ascii="Arial" w:hAnsi="Arial" w:cs="Arial"/>
          <w:color w:val="1E1E1E"/>
        </w:rPr>
        <w:t> Será assegurado ao recorrente vista dos elementos indispensáveis à defesa de seus interesses.</w:t>
      </w:r>
    </w:p>
    <w:p w14:paraId="12B0B151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5º</w:t>
      </w:r>
      <w:r w:rsidRPr="002538C2">
        <w:rPr>
          <w:rFonts w:ascii="Arial" w:hAnsi="Arial" w:cs="Arial"/>
          <w:color w:val="1E1E1E"/>
        </w:rPr>
        <w:t> O recurso e o pedido de reconsideração terão efeito suspensivo do ato ou da decisão recorrida até que sobrevenha decisão final da autoridade competente.</w:t>
      </w:r>
    </w:p>
    <w:p w14:paraId="1F8F2E05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§ 6º</w:t>
      </w:r>
      <w:r w:rsidRPr="002538C2">
        <w:rPr>
          <w:rFonts w:ascii="Arial" w:hAnsi="Arial" w:cs="Arial"/>
          <w:color w:val="1E1E1E"/>
        </w:rPr>
        <w:t> Na elaboração da decisão a autoridade competente será auxiliada pelo órgão de assessoramento jurídico, que deverá dirimir dúvidas e subsidiá-la com as info</w:t>
      </w:r>
      <w:r w:rsidRPr="002538C2">
        <w:rPr>
          <w:rFonts w:ascii="Arial" w:hAnsi="Arial" w:cs="Arial"/>
          <w:color w:val="1E1E1E"/>
        </w:rPr>
        <w:t>r</w:t>
      </w:r>
      <w:r w:rsidRPr="002538C2">
        <w:rPr>
          <w:rFonts w:ascii="Arial" w:hAnsi="Arial" w:cs="Arial"/>
          <w:color w:val="1E1E1E"/>
        </w:rPr>
        <w:t>mações necessárias.</w:t>
      </w:r>
    </w:p>
    <w:p w14:paraId="52E53521" w14:textId="77777777" w:rsidR="00AB43F0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9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2538C2">
        <w:rPr>
          <w:rFonts w:ascii="Arial" w:hAnsi="Arial" w:cs="Arial"/>
          <w:color w:val="1E1E1E"/>
        </w:rPr>
        <w:t> Os casos omissos serão dirimidos à luz da Lei Federal nº 14.133/2021, com o auxílio das unidades de assessoramento jurídico e de controle interno.</w:t>
      </w:r>
    </w:p>
    <w:p w14:paraId="2D2458B5" w14:textId="7649EBE9" w:rsidR="007E48C8" w:rsidRPr="002538C2" w:rsidRDefault="00AB43F0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10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.</w:t>
      </w:r>
      <w:r w:rsidRPr="002538C2">
        <w:rPr>
          <w:rFonts w:ascii="Arial" w:hAnsi="Arial" w:cs="Arial"/>
          <w:color w:val="1E1E1E"/>
        </w:rPr>
        <w:t> </w:t>
      </w:r>
      <w:r w:rsidR="007E48C8" w:rsidRPr="002538C2">
        <w:rPr>
          <w:rFonts w:ascii="Arial" w:hAnsi="Arial" w:cs="Arial"/>
          <w:color w:val="1E1E1E"/>
        </w:rPr>
        <w:t>Revogam-se as disposições em contrário.</w:t>
      </w:r>
    </w:p>
    <w:p w14:paraId="3E341F7C" w14:textId="4C3191F2" w:rsidR="00AB43F0" w:rsidRPr="002538C2" w:rsidRDefault="007E48C8" w:rsidP="00D24F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2538C2">
        <w:rPr>
          <w:rStyle w:val="Forte"/>
          <w:rFonts w:ascii="Arial" w:eastAsia="Calibri" w:hAnsi="Arial" w:cs="Arial"/>
          <w:color w:val="1E1E1E"/>
          <w:bdr w:val="none" w:sz="0" w:space="0" w:color="auto" w:frame="1"/>
        </w:rPr>
        <w:t>Art. 11</w:t>
      </w:r>
      <w:r w:rsidRPr="002538C2">
        <w:rPr>
          <w:rStyle w:val="Forte"/>
          <w:rFonts w:ascii="Arial" w:eastAsia="Calibri" w:hAnsi="Arial" w:cs="Arial"/>
          <w:b w:val="0"/>
          <w:bCs w:val="0"/>
          <w:color w:val="1E1E1E"/>
          <w:bdr w:val="none" w:sz="0" w:space="0" w:color="auto" w:frame="1"/>
        </w:rPr>
        <w:t>.</w:t>
      </w:r>
      <w:r w:rsidRPr="002538C2">
        <w:rPr>
          <w:rFonts w:ascii="Arial" w:hAnsi="Arial" w:cs="Arial"/>
          <w:color w:val="1E1E1E"/>
        </w:rPr>
        <w:t> </w:t>
      </w:r>
      <w:r w:rsidR="00AB43F0" w:rsidRPr="002538C2">
        <w:rPr>
          <w:rFonts w:ascii="Arial" w:hAnsi="Arial" w:cs="Arial"/>
          <w:color w:val="1E1E1E"/>
        </w:rPr>
        <w:t xml:space="preserve">Este Decreto entra em vigor </w:t>
      </w:r>
      <w:r w:rsidRPr="002538C2">
        <w:rPr>
          <w:rFonts w:ascii="Arial" w:hAnsi="Arial" w:cs="Arial"/>
          <w:color w:val="1E1E1E"/>
        </w:rPr>
        <w:t>em 1º de janeiro de 2024</w:t>
      </w:r>
      <w:r w:rsidR="00AB43F0" w:rsidRPr="002538C2">
        <w:rPr>
          <w:rFonts w:ascii="Arial" w:hAnsi="Arial" w:cs="Arial"/>
          <w:color w:val="1E1E1E"/>
        </w:rPr>
        <w:t>.</w:t>
      </w:r>
    </w:p>
    <w:p w14:paraId="6A9AECA7" w14:textId="77777777" w:rsidR="002538C2" w:rsidRDefault="002538C2" w:rsidP="007E48C8">
      <w:pPr>
        <w:spacing w:after="120" w:line="360" w:lineRule="auto"/>
        <w:rPr>
          <w:rFonts w:cs="Arial"/>
          <w:szCs w:val="24"/>
        </w:rPr>
      </w:pPr>
    </w:p>
    <w:p w14:paraId="0A5D6025" w14:textId="1A1AB121" w:rsidR="007E48C8" w:rsidRPr="002538C2" w:rsidRDefault="007E48C8" w:rsidP="00CE5BA9">
      <w:pPr>
        <w:spacing w:after="120" w:line="360" w:lineRule="auto"/>
        <w:jc w:val="right"/>
        <w:rPr>
          <w:rFonts w:cs="Arial"/>
          <w:szCs w:val="24"/>
        </w:rPr>
      </w:pPr>
      <w:r w:rsidRPr="002538C2">
        <w:rPr>
          <w:rFonts w:cs="Arial"/>
          <w:szCs w:val="24"/>
        </w:rPr>
        <w:t xml:space="preserve">Santa Amélia/PR, </w:t>
      </w:r>
      <w:r w:rsidR="00CE5BA9">
        <w:rPr>
          <w:rFonts w:cs="Arial"/>
          <w:szCs w:val="24"/>
        </w:rPr>
        <w:t>28</w:t>
      </w:r>
      <w:r w:rsidRPr="002538C2">
        <w:rPr>
          <w:rFonts w:cs="Arial"/>
          <w:szCs w:val="24"/>
        </w:rPr>
        <w:t xml:space="preserve"> de </w:t>
      </w:r>
      <w:r w:rsidR="00CE5BA9">
        <w:rPr>
          <w:rFonts w:cs="Arial"/>
          <w:szCs w:val="24"/>
        </w:rPr>
        <w:t>dezembro</w:t>
      </w:r>
      <w:r w:rsidRPr="002538C2">
        <w:rPr>
          <w:rFonts w:cs="Arial"/>
          <w:szCs w:val="24"/>
        </w:rPr>
        <w:t xml:space="preserve"> de 2023.</w:t>
      </w:r>
    </w:p>
    <w:p w14:paraId="3B3E1D1F" w14:textId="77777777" w:rsidR="007E48C8" w:rsidRPr="002538C2" w:rsidRDefault="007E48C8" w:rsidP="007E48C8">
      <w:pPr>
        <w:spacing w:after="12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58EFF225" w14:textId="77777777" w:rsidR="007E48C8" w:rsidRPr="002538C2" w:rsidRDefault="007E48C8" w:rsidP="007E48C8">
      <w:pPr>
        <w:spacing w:after="12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08296503" w14:textId="77777777" w:rsidR="007E48C8" w:rsidRPr="002538C2" w:rsidRDefault="007E48C8" w:rsidP="002538C2">
      <w:pPr>
        <w:spacing w:after="0" w:line="240" w:lineRule="auto"/>
        <w:jc w:val="center"/>
        <w:rPr>
          <w:rFonts w:eastAsia="Times New Roman" w:cs="Arial"/>
          <w:szCs w:val="24"/>
          <w:lang w:eastAsia="pt-BR"/>
        </w:rPr>
      </w:pPr>
      <w:r w:rsidRPr="002538C2">
        <w:rPr>
          <w:rFonts w:eastAsia="Times New Roman" w:cs="Arial"/>
          <w:b/>
          <w:bCs/>
          <w:szCs w:val="24"/>
          <w:lang w:eastAsia="pt-BR"/>
        </w:rPr>
        <w:t>ANTONIO CARLOS TAMAIS</w:t>
      </w:r>
    </w:p>
    <w:p w14:paraId="3714E953" w14:textId="77777777" w:rsidR="007E48C8" w:rsidRPr="002538C2" w:rsidRDefault="007E48C8" w:rsidP="002538C2">
      <w:pPr>
        <w:spacing w:after="0" w:line="240" w:lineRule="auto"/>
        <w:jc w:val="center"/>
        <w:rPr>
          <w:rFonts w:cs="Arial"/>
          <w:szCs w:val="24"/>
        </w:rPr>
      </w:pPr>
      <w:r w:rsidRPr="002538C2">
        <w:rPr>
          <w:rFonts w:eastAsia="Times New Roman" w:cs="Arial"/>
          <w:szCs w:val="24"/>
          <w:lang w:eastAsia="pt-BR"/>
        </w:rPr>
        <w:t>Prefeito Municipal</w:t>
      </w:r>
    </w:p>
    <w:p w14:paraId="4A65EF66" w14:textId="77777777" w:rsidR="00AB43F0" w:rsidRPr="002538C2" w:rsidRDefault="00AB43F0" w:rsidP="00D24FDE">
      <w:pPr>
        <w:spacing w:after="120" w:line="360" w:lineRule="auto"/>
        <w:rPr>
          <w:rFonts w:cs="Arial"/>
          <w:szCs w:val="24"/>
        </w:rPr>
      </w:pPr>
    </w:p>
    <w:p w14:paraId="3B0EA966" w14:textId="77777777" w:rsidR="008241C2" w:rsidRPr="002538C2" w:rsidRDefault="008241C2" w:rsidP="00D24FDE">
      <w:pPr>
        <w:spacing w:after="120" w:line="360" w:lineRule="auto"/>
        <w:rPr>
          <w:rFonts w:cs="Arial"/>
          <w:szCs w:val="24"/>
        </w:rPr>
      </w:pPr>
      <w:bookmarkStart w:id="2" w:name="_GoBack"/>
      <w:bookmarkEnd w:id="2"/>
    </w:p>
    <w:sectPr w:rsidR="008241C2" w:rsidRPr="002538C2" w:rsidSect="0035194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E85F2" w14:textId="77777777" w:rsidR="0029123E" w:rsidRDefault="0029123E">
      <w:pPr>
        <w:spacing w:after="0" w:line="240" w:lineRule="auto"/>
      </w:pPr>
      <w:r>
        <w:separator/>
      </w:r>
    </w:p>
  </w:endnote>
  <w:endnote w:type="continuationSeparator" w:id="0">
    <w:p w14:paraId="4E703586" w14:textId="77777777" w:rsidR="0029123E" w:rsidRDefault="002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3BB4B" w14:textId="77777777" w:rsidR="00ED5D12" w:rsidRPr="00B60AC6" w:rsidRDefault="002D2B90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DD2AC" w14:textId="77777777" w:rsidR="0029123E" w:rsidRDefault="0029123E">
      <w:pPr>
        <w:spacing w:after="0" w:line="240" w:lineRule="auto"/>
      </w:pPr>
      <w:r>
        <w:separator/>
      </w:r>
    </w:p>
  </w:footnote>
  <w:footnote w:type="continuationSeparator" w:id="0">
    <w:p w14:paraId="324AC340" w14:textId="77777777" w:rsidR="0029123E" w:rsidRDefault="002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76760" w14:textId="77777777" w:rsidR="00750654" w:rsidRDefault="0029123E">
    <w:pPr>
      <w:pStyle w:val="Cabealho"/>
    </w:pPr>
    <w:r>
      <w:rPr>
        <w:noProof/>
        <w:lang w:eastAsia="pt-BR"/>
      </w:rPr>
      <w:pict w14:anchorId="439DF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385B7" w14:textId="77777777" w:rsidR="00ED5D12" w:rsidRDefault="0029123E" w:rsidP="004E1586">
    <w:pPr>
      <w:pStyle w:val="Legenda"/>
      <w:framePr w:hSpace="141" w:wrap="around" w:vAnchor="text" w:hAnchor="page" w:x="576" w:y="1441"/>
      <w:rPr>
        <w:sz w:val="28"/>
        <w:szCs w:val="28"/>
      </w:rPr>
    </w:pPr>
  </w:p>
  <w:p w14:paraId="3CEDAC9A" w14:textId="77777777" w:rsidR="00ED5D12" w:rsidRDefault="0029123E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  <w:lang w:eastAsia="en-US"/>
      </w:rPr>
      <w:pict w14:anchorId="1F2B5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0" type="#_x0000_t75" style="position:absolute;left:0;text-align:left;margin-left:4.75pt;margin-top:-97.95pt;width:58.85pt;height:80.4pt;z-index:-251658752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050351BC" w14:textId="77777777" w:rsidR="00ED5D12" w:rsidRPr="000F68D4" w:rsidRDefault="002D2B90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285B82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0F68D4">
      <w:rPr>
        <w:rFonts w:ascii="Book Antiqua" w:hAnsi="Book Antiqua"/>
        <w:b/>
        <w:sz w:val="32"/>
        <w:szCs w:val="28"/>
      </w:rPr>
      <w:t>PREFEITURA MUNICIPAL DE SANTA AMÉLIA</w:t>
    </w:r>
  </w:p>
  <w:p w14:paraId="6B635F34" w14:textId="77777777" w:rsidR="00ED5D12" w:rsidRPr="000F68D4" w:rsidRDefault="002D2B90" w:rsidP="00656787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rPr>
        <w:rFonts w:ascii="Book Antiqua" w:hAnsi="Book Antiqua"/>
        <w:sz w:val="28"/>
        <w:szCs w:val="28"/>
        <w:u w:val="none"/>
      </w:rPr>
    </w:pP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  <w:t xml:space="preserve">               </w:t>
    </w:r>
    <w:r w:rsidRPr="000F68D4">
      <w:rPr>
        <w:rFonts w:ascii="Book Antiqua" w:hAnsi="Book Antiqua"/>
        <w:sz w:val="28"/>
        <w:szCs w:val="28"/>
        <w:u w:val="none"/>
      </w:rPr>
      <w:t>ESTADO DO PARANÁ</w:t>
    </w:r>
  </w:p>
  <w:p w14:paraId="5E4839C9" w14:textId="77777777" w:rsidR="00ED5D12" w:rsidRPr="00402012" w:rsidRDefault="002D2B90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26"/>
        <w:szCs w:val="26"/>
        <w:u w:val="none"/>
      </w:rPr>
    </w:pPr>
    <w:r w:rsidRPr="00402012">
      <w:rPr>
        <w:rFonts w:ascii="Book Antiqua" w:hAnsi="Book Antiqua"/>
        <w:sz w:val="26"/>
        <w:szCs w:val="26"/>
        <w:u w:val="none"/>
      </w:rPr>
      <w:t xml:space="preserve">              CNPJ Nº 76.235.746/0001-46</w:t>
    </w:r>
  </w:p>
  <w:p w14:paraId="13DDC371" w14:textId="77777777" w:rsidR="00ED5D12" w:rsidRDefault="0029123E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3D9F7D59" w14:textId="77777777" w:rsidR="00ED5D12" w:rsidRPr="001F04F2" w:rsidRDefault="0029123E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6BEBC" w14:textId="77777777" w:rsidR="00750654" w:rsidRDefault="0029123E">
    <w:pPr>
      <w:pStyle w:val="Cabealho"/>
    </w:pPr>
    <w:r>
      <w:rPr>
        <w:noProof/>
        <w:lang w:eastAsia="pt-BR"/>
      </w:rPr>
      <w:pict w14:anchorId="5C812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51" type="#_x0000_t75" style="position:absolute;left:0;text-align:left;margin-left:0;margin-top:0;width:61.75pt;height:84.35pt;z-index:-251657728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E4C0F"/>
    <w:multiLevelType w:val="multilevel"/>
    <w:tmpl w:val="2E68C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F0"/>
    <w:rsid w:val="002538C2"/>
    <w:rsid w:val="0026197E"/>
    <w:rsid w:val="0029123E"/>
    <w:rsid w:val="002D2B90"/>
    <w:rsid w:val="004173D0"/>
    <w:rsid w:val="004A4349"/>
    <w:rsid w:val="005A2700"/>
    <w:rsid w:val="006D36A0"/>
    <w:rsid w:val="00790631"/>
    <w:rsid w:val="007E48C8"/>
    <w:rsid w:val="008241C2"/>
    <w:rsid w:val="009A062F"/>
    <w:rsid w:val="00AB43F0"/>
    <w:rsid w:val="00AE5CC2"/>
    <w:rsid w:val="00B66803"/>
    <w:rsid w:val="00C324D4"/>
    <w:rsid w:val="00CE5BA9"/>
    <w:rsid w:val="00D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48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F0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B43F0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B43F0"/>
  </w:style>
  <w:style w:type="paragraph" w:styleId="Legenda">
    <w:name w:val="caption"/>
    <w:basedOn w:val="Normal"/>
    <w:next w:val="Normal"/>
    <w:unhideWhenUsed/>
    <w:qFormat/>
    <w:rsid w:val="00AB43F0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AB4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43F0"/>
    <w:rPr>
      <w:rFonts w:ascii="Arial" w:eastAsia="Calibri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B4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43F0"/>
    <w:rPr>
      <w:b/>
      <w:bCs/>
    </w:rPr>
  </w:style>
  <w:style w:type="paragraph" w:customStyle="1" w:styleId="history-att-list-item">
    <w:name w:val="history-att-list-item"/>
    <w:basedOn w:val="Normal"/>
    <w:rsid w:val="00AB4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history-att-title">
    <w:name w:val="history-att-title"/>
    <w:basedOn w:val="Normal"/>
    <w:rsid w:val="00AB4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F0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B43F0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B43F0"/>
  </w:style>
  <w:style w:type="paragraph" w:styleId="Legenda">
    <w:name w:val="caption"/>
    <w:basedOn w:val="Normal"/>
    <w:next w:val="Normal"/>
    <w:unhideWhenUsed/>
    <w:qFormat/>
    <w:rsid w:val="00AB43F0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AB4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43F0"/>
    <w:rPr>
      <w:rFonts w:ascii="Arial" w:eastAsia="Calibri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B4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43F0"/>
    <w:rPr>
      <w:b/>
      <w:bCs/>
    </w:rPr>
  </w:style>
  <w:style w:type="paragraph" w:customStyle="1" w:styleId="history-att-list-item">
    <w:name w:val="history-att-list-item"/>
    <w:basedOn w:val="Normal"/>
    <w:rsid w:val="00AB4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history-att-title">
    <w:name w:val="history-att-title"/>
    <w:basedOn w:val="Normal"/>
    <w:rsid w:val="00AB4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1227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9</cp:revision>
  <dcterms:created xsi:type="dcterms:W3CDTF">2023-10-16T17:38:00Z</dcterms:created>
  <dcterms:modified xsi:type="dcterms:W3CDTF">2023-12-28T20:09:00Z</dcterms:modified>
</cp:coreProperties>
</file>