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2EBCD" w14:textId="6D9F404A" w:rsidR="00B46C3D" w:rsidRPr="00132EC5" w:rsidRDefault="0000607E" w:rsidP="001C3C95">
      <w:pPr>
        <w:spacing w:after="120" w:line="360" w:lineRule="auto"/>
        <w:ind w:firstLine="2268"/>
        <w:rPr>
          <w:rFonts w:eastAsia="Times New Roman" w:cs="Arial"/>
          <w:b/>
          <w:bCs/>
          <w:szCs w:val="24"/>
          <w:lang w:eastAsia="pt-BR"/>
        </w:rPr>
      </w:pPr>
      <w:r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DECRETO Nº 85</w:t>
      </w:r>
      <w:r w:rsidR="00B46C3D" w:rsidRPr="00132EC5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 xml:space="preserve">, </w:t>
      </w:r>
      <w:r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28 DE DEZEMBRO</w:t>
      </w:r>
      <w:proofErr w:type="gramStart"/>
      <w:r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 xml:space="preserve"> </w:t>
      </w:r>
      <w:r w:rsidR="00B46C3D" w:rsidRPr="00132EC5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 xml:space="preserve"> </w:t>
      </w:r>
      <w:proofErr w:type="gramEnd"/>
      <w:r w:rsidR="00B46C3D" w:rsidRPr="00132EC5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DE 2023</w:t>
      </w:r>
      <w:r w:rsidR="00B46C3D" w:rsidRPr="00132EC5">
        <w:rPr>
          <w:rFonts w:eastAsia="Times New Roman" w:cs="Arial"/>
          <w:color w:val="000000"/>
          <w:szCs w:val="24"/>
          <w:lang w:eastAsia="pt-BR"/>
        </w:rPr>
        <w:t>.</w:t>
      </w:r>
    </w:p>
    <w:p w14:paraId="532CFDD3" w14:textId="77777777" w:rsidR="00B46C3D" w:rsidRPr="00132EC5" w:rsidRDefault="00B46C3D" w:rsidP="001C3C95">
      <w:pPr>
        <w:spacing w:after="120" w:line="360" w:lineRule="auto"/>
        <w:jc w:val="center"/>
        <w:rPr>
          <w:rFonts w:eastAsia="Times New Roman" w:cs="Arial"/>
          <w:color w:val="000000"/>
          <w:szCs w:val="24"/>
          <w:lang w:eastAsia="pt-BR"/>
        </w:rPr>
      </w:pPr>
    </w:p>
    <w:p w14:paraId="00126624" w14:textId="243C3669" w:rsidR="00B46C3D" w:rsidRPr="00132EC5" w:rsidRDefault="00B46C3D" w:rsidP="001C3C95">
      <w:pPr>
        <w:spacing w:after="120" w:line="360" w:lineRule="auto"/>
        <w:ind w:left="2268"/>
        <w:rPr>
          <w:rFonts w:eastAsia="Times New Roman" w:cs="Arial"/>
          <w:color w:val="000000"/>
          <w:szCs w:val="24"/>
          <w:lang w:eastAsia="pt-BR"/>
        </w:rPr>
      </w:pPr>
      <w:r w:rsidRPr="00132EC5">
        <w:rPr>
          <w:rFonts w:eastAsia="Times New Roman" w:cs="Arial"/>
          <w:b/>
          <w:bCs/>
          <w:color w:val="000000"/>
          <w:szCs w:val="24"/>
          <w:u w:val="single"/>
          <w:lang w:eastAsia="pt-BR"/>
        </w:rPr>
        <w:t>SÚMULA</w:t>
      </w:r>
      <w:r w:rsidRPr="00132EC5">
        <w:rPr>
          <w:rFonts w:eastAsia="Times New Roman" w:cs="Arial"/>
          <w:color w:val="000000"/>
          <w:szCs w:val="24"/>
          <w:lang w:eastAsia="pt-BR"/>
        </w:rPr>
        <w:t>: regulamenta as regras e critérios de definição de v</w:t>
      </w:r>
      <w:r w:rsidRPr="00132EC5">
        <w:rPr>
          <w:rFonts w:eastAsia="Times New Roman" w:cs="Arial"/>
          <w:color w:val="000000"/>
          <w:szCs w:val="24"/>
          <w:lang w:eastAsia="pt-BR"/>
        </w:rPr>
        <w:t>a</w:t>
      </w:r>
      <w:r w:rsidRPr="00132EC5">
        <w:rPr>
          <w:rFonts w:eastAsia="Times New Roman" w:cs="Arial"/>
          <w:color w:val="000000"/>
          <w:szCs w:val="24"/>
          <w:lang w:eastAsia="pt-BR"/>
        </w:rPr>
        <w:t>lor estimado para contratação obras e serviços de engenharia nos processos de licitação e contratação direta no âmbito da Administração Pública do Poder Executivo</w:t>
      </w:r>
      <w:r w:rsidR="00830547" w:rsidRPr="00132EC5">
        <w:rPr>
          <w:rFonts w:eastAsia="Times New Roman" w:cs="Arial"/>
          <w:color w:val="000000"/>
          <w:szCs w:val="24"/>
          <w:lang w:eastAsia="pt-BR"/>
        </w:rPr>
        <w:t xml:space="preserve"> Municipal </w:t>
      </w:r>
      <w:r w:rsidRPr="00132EC5">
        <w:rPr>
          <w:rFonts w:eastAsia="Times New Roman" w:cs="Arial"/>
          <w:color w:val="000000"/>
          <w:szCs w:val="24"/>
          <w:lang w:eastAsia="pt-BR"/>
        </w:rPr>
        <w:t>e outras providências.</w:t>
      </w:r>
    </w:p>
    <w:p w14:paraId="3AA43B33" w14:textId="77777777" w:rsidR="00B46C3D" w:rsidRPr="00132EC5" w:rsidRDefault="00B46C3D" w:rsidP="001C3C95">
      <w:pPr>
        <w:spacing w:after="120" w:line="360" w:lineRule="auto"/>
        <w:ind w:left="2552"/>
        <w:rPr>
          <w:rFonts w:eastAsia="Times New Roman" w:cs="Arial"/>
          <w:b/>
          <w:bCs/>
          <w:color w:val="000000"/>
          <w:szCs w:val="24"/>
          <w:u w:val="single"/>
          <w:lang w:eastAsia="pt-BR"/>
        </w:rPr>
      </w:pPr>
    </w:p>
    <w:p w14:paraId="5E4CC406" w14:textId="7398C10A" w:rsidR="00B46C3D" w:rsidRPr="00132EC5" w:rsidRDefault="00B46C3D" w:rsidP="001C3C95">
      <w:pPr>
        <w:spacing w:after="120" w:line="360" w:lineRule="auto"/>
        <w:ind w:firstLine="1134"/>
        <w:rPr>
          <w:rFonts w:eastAsia="Times New Roman" w:cs="Arial"/>
          <w:szCs w:val="24"/>
          <w:lang w:eastAsia="pt-BR"/>
        </w:rPr>
      </w:pPr>
      <w:r w:rsidRPr="00132EC5">
        <w:rPr>
          <w:rFonts w:cs="Arial"/>
          <w:szCs w:val="24"/>
        </w:rPr>
        <w:t xml:space="preserve">O Prefeito Municipal de Santa Amélia, Estado do Paraná, </w:t>
      </w:r>
      <w:r w:rsidRPr="00132EC5">
        <w:rPr>
          <w:rFonts w:cs="Arial"/>
          <w:b/>
          <w:bCs/>
          <w:szCs w:val="24"/>
        </w:rPr>
        <w:t>ANTÔNIO CARLOS TAMAIS</w:t>
      </w:r>
      <w:r w:rsidRPr="00132EC5">
        <w:rPr>
          <w:rFonts w:cs="Arial"/>
          <w:szCs w:val="24"/>
        </w:rPr>
        <w:t xml:space="preserve">, no uso de suas atribuições legais e em conformidade com as disposições do art. 62, VI, da Lei Orgânica do Município – LOM de Santa Amélia/PR, e § 2º do art. 23 da </w:t>
      </w:r>
      <w:r w:rsidRPr="00132EC5">
        <w:rPr>
          <w:rFonts w:eastAsia="Times New Roman" w:cs="Arial"/>
          <w:szCs w:val="24"/>
          <w:lang w:eastAsia="pt-BR"/>
        </w:rPr>
        <w:t xml:space="preserve">lei federal nº 14.133/2021, </w:t>
      </w:r>
      <w:r w:rsidRPr="00132EC5">
        <w:rPr>
          <w:rFonts w:cs="Arial"/>
          <w:szCs w:val="24"/>
        </w:rPr>
        <w:t>de Licitações de Contratos Admini</w:t>
      </w:r>
      <w:r w:rsidRPr="00132EC5">
        <w:rPr>
          <w:rFonts w:cs="Arial"/>
          <w:szCs w:val="24"/>
        </w:rPr>
        <w:t>s</w:t>
      </w:r>
      <w:r w:rsidRPr="00132EC5">
        <w:rPr>
          <w:rFonts w:cs="Arial"/>
          <w:szCs w:val="24"/>
        </w:rPr>
        <w:t xml:space="preserve">trativos, </w:t>
      </w:r>
      <w:r w:rsidRPr="00132EC5">
        <w:rPr>
          <w:rFonts w:eastAsia="Times New Roman" w:cs="Arial"/>
          <w:b/>
          <w:bCs/>
          <w:color w:val="000000"/>
          <w:szCs w:val="24"/>
          <w:lang w:eastAsia="pt-BR"/>
        </w:rPr>
        <w:t>D E C R E T A</w:t>
      </w:r>
      <w:r w:rsidRPr="00132EC5">
        <w:rPr>
          <w:rFonts w:eastAsia="Times New Roman" w:cs="Arial"/>
          <w:color w:val="000000"/>
          <w:szCs w:val="24"/>
          <w:lang w:eastAsia="pt-BR"/>
        </w:rPr>
        <w:t>:</w:t>
      </w:r>
    </w:p>
    <w:p w14:paraId="42090D45" w14:textId="77777777" w:rsidR="00B46C3D" w:rsidRPr="00132EC5" w:rsidRDefault="00B46C3D" w:rsidP="001C3C95">
      <w:pPr>
        <w:spacing w:after="120" w:line="360" w:lineRule="auto"/>
        <w:rPr>
          <w:rStyle w:val="fontstyle01"/>
          <w:rFonts w:ascii="Arial" w:hAnsi="Arial" w:cs="Arial"/>
        </w:rPr>
      </w:pPr>
    </w:p>
    <w:p w14:paraId="704EE9E7" w14:textId="77777777" w:rsidR="00B46C3D" w:rsidRPr="00132EC5" w:rsidRDefault="00B46C3D" w:rsidP="001C3C95">
      <w:pPr>
        <w:spacing w:after="120" w:line="360" w:lineRule="auto"/>
        <w:jc w:val="center"/>
        <w:rPr>
          <w:rFonts w:cs="Arial"/>
          <w:b/>
          <w:bCs/>
          <w:color w:val="000000"/>
          <w:szCs w:val="24"/>
        </w:rPr>
      </w:pPr>
      <w:r w:rsidRPr="00132EC5">
        <w:rPr>
          <w:rStyle w:val="fontstyle01"/>
          <w:rFonts w:ascii="Arial" w:hAnsi="Arial" w:cs="Arial"/>
        </w:rPr>
        <w:t>CAPÍTULO I</w:t>
      </w:r>
      <w:r w:rsidRPr="00132EC5">
        <w:rPr>
          <w:rFonts w:cs="Arial"/>
          <w:b/>
          <w:bCs/>
          <w:color w:val="000000"/>
          <w:szCs w:val="24"/>
        </w:rPr>
        <w:br/>
      </w:r>
      <w:r w:rsidRPr="00132EC5">
        <w:rPr>
          <w:rStyle w:val="fontstyle01"/>
          <w:rFonts w:ascii="Arial" w:hAnsi="Arial" w:cs="Arial"/>
          <w:b w:val="0"/>
          <w:bCs w:val="0"/>
        </w:rPr>
        <w:t>DISPOSIÇÕES GERAIS</w:t>
      </w:r>
    </w:p>
    <w:p w14:paraId="0C58731B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Style w:val="fontstyle21"/>
          <w:rFonts w:ascii="Arial" w:hAnsi="Arial" w:cs="Arial"/>
          <w:b/>
          <w:bCs/>
        </w:rPr>
        <w:t>Art. 1</w:t>
      </w:r>
      <w:r w:rsidRPr="00132EC5">
        <w:rPr>
          <w:rStyle w:val="fontstyle21"/>
          <w:rFonts w:ascii="Arial" w:hAnsi="Arial" w:cs="Arial"/>
        </w:rPr>
        <w:t xml:space="preserve">º </w:t>
      </w:r>
      <w:r w:rsidRPr="00132EC5">
        <w:rPr>
          <w:rFonts w:cs="Arial"/>
          <w:color w:val="000000"/>
          <w:szCs w:val="24"/>
        </w:rPr>
        <w:t>Este Decreto estabelece regras e critérios para definição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do valor estimado para contratação de obras e serviços de engenharia nos processos de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licitação e de contratação direta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de que dispõe o § 2º do artigo 23 da Lei Federal nº 14.133</w:t>
      </w:r>
      <w:r w:rsidR="00830547" w:rsidRPr="00132EC5">
        <w:rPr>
          <w:rFonts w:cs="Arial"/>
          <w:color w:val="000000"/>
          <w:szCs w:val="24"/>
        </w:rPr>
        <w:t>/</w:t>
      </w:r>
      <w:r w:rsidRPr="00132EC5">
        <w:rPr>
          <w:rFonts w:cs="Arial"/>
          <w:color w:val="000000"/>
          <w:szCs w:val="24"/>
        </w:rPr>
        <w:t>2021</w:t>
      </w:r>
      <w:r w:rsidR="00830547" w:rsidRPr="00132EC5">
        <w:rPr>
          <w:rFonts w:cs="Arial"/>
          <w:color w:val="000000"/>
          <w:szCs w:val="24"/>
        </w:rPr>
        <w:t xml:space="preserve">, </w:t>
      </w:r>
      <w:r w:rsidR="00830547" w:rsidRPr="00132EC5">
        <w:rPr>
          <w:rFonts w:eastAsia="Times New Roman" w:cs="Arial"/>
          <w:color w:val="000000"/>
          <w:szCs w:val="24"/>
          <w:lang w:eastAsia="pt-BR"/>
        </w:rPr>
        <w:t>no âmbito da Administração Pública do Poder Executivo Municipal e outras prov</w:t>
      </w:r>
      <w:r w:rsidR="00830547" w:rsidRPr="00132EC5">
        <w:rPr>
          <w:rFonts w:eastAsia="Times New Roman" w:cs="Arial"/>
          <w:color w:val="000000"/>
          <w:szCs w:val="24"/>
          <w:lang w:eastAsia="pt-BR"/>
        </w:rPr>
        <w:t>i</w:t>
      </w:r>
      <w:r w:rsidR="00830547" w:rsidRPr="00132EC5">
        <w:rPr>
          <w:rFonts w:eastAsia="Times New Roman" w:cs="Arial"/>
          <w:color w:val="000000"/>
          <w:szCs w:val="24"/>
          <w:lang w:eastAsia="pt-BR"/>
        </w:rPr>
        <w:t>dências.</w:t>
      </w:r>
    </w:p>
    <w:p w14:paraId="3E4C95D5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b/>
          <w:bCs/>
          <w:color w:val="000000"/>
          <w:szCs w:val="24"/>
        </w:rPr>
        <w:t>Art. 2</w:t>
      </w:r>
      <w:r w:rsidRPr="00132EC5">
        <w:rPr>
          <w:rFonts w:cs="Arial"/>
          <w:color w:val="000000"/>
          <w:szCs w:val="24"/>
        </w:rPr>
        <w:t>º Para os fins deste Decreto, considera-se:</w:t>
      </w:r>
    </w:p>
    <w:p w14:paraId="1C04770D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t>I – custo unitário de referência: valor unitário para execução de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uma unidade de m</w:t>
      </w:r>
      <w:r w:rsidRPr="00132EC5">
        <w:rPr>
          <w:rFonts w:cs="Arial"/>
          <w:color w:val="000000"/>
          <w:szCs w:val="24"/>
        </w:rPr>
        <w:t>e</w:t>
      </w:r>
      <w:r w:rsidRPr="00132EC5">
        <w:rPr>
          <w:rFonts w:cs="Arial"/>
          <w:color w:val="000000"/>
          <w:szCs w:val="24"/>
        </w:rPr>
        <w:t>dida do serviço previsto no orçamento de referência e obtido com base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nos sistemas de referência de custos ou pesquisa de mercado;</w:t>
      </w:r>
    </w:p>
    <w:p w14:paraId="0009540D" w14:textId="77777777" w:rsidR="00830547" w:rsidRPr="00132EC5" w:rsidRDefault="00B46C3D" w:rsidP="001C3C95">
      <w:pPr>
        <w:spacing w:after="120" w:line="360" w:lineRule="auto"/>
        <w:rPr>
          <w:rFonts w:cs="Arial"/>
          <w:szCs w:val="24"/>
        </w:rPr>
      </w:pPr>
      <w:r w:rsidRPr="00132EC5">
        <w:rPr>
          <w:rFonts w:cs="Arial"/>
          <w:color w:val="000000"/>
          <w:szCs w:val="24"/>
        </w:rPr>
        <w:lastRenderedPageBreak/>
        <w:t>II – composição de custo unitário: detalhamento do custo unitário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do serviço que e</w:t>
      </w:r>
      <w:r w:rsidRPr="00132EC5">
        <w:rPr>
          <w:rFonts w:cs="Arial"/>
          <w:color w:val="000000"/>
          <w:szCs w:val="24"/>
        </w:rPr>
        <w:t>x</w:t>
      </w:r>
      <w:r w:rsidRPr="00132EC5">
        <w:rPr>
          <w:rFonts w:cs="Arial"/>
          <w:color w:val="000000"/>
          <w:szCs w:val="24"/>
        </w:rPr>
        <w:t>presse a descrição, quantidades, produtividades e custos unitários dos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materiais, mão de obra e equipamentos necessários à execução de uma unidade de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medida;</w:t>
      </w:r>
    </w:p>
    <w:p w14:paraId="02969EA9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t>III – custo total de referência do serviço: valor resultante da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multiplicação do quant</w:t>
      </w:r>
      <w:r w:rsidRPr="00132EC5">
        <w:rPr>
          <w:rFonts w:cs="Arial"/>
          <w:color w:val="000000"/>
          <w:szCs w:val="24"/>
        </w:rPr>
        <w:t>i</w:t>
      </w:r>
      <w:r w:rsidRPr="00132EC5">
        <w:rPr>
          <w:rFonts w:cs="Arial"/>
          <w:color w:val="000000"/>
          <w:szCs w:val="24"/>
        </w:rPr>
        <w:t>tativo do serviço previsto no orçamento de referência por seu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custo unitário de ref</w:t>
      </w:r>
      <w:r w:rsidRPr="00132EC5">
        <w:rPr>
          <w:rFonts w:cs="Arial"/>
          <w:color w:val="000000"/>
          <w:szCs w:val="24"/>
        </w:rPr>
        <w:t>e</w:t>
      </w:r>
      <w:r w:rsidRPr="00132EC5">
        <w:rPr>
          <w:rFonts w:cs="Arial"/>
          <w:color w:val="000000"/>
          <w:szCs w:val="24"/>
        </w:rPr>
        <w:t>rência;</w:t>
      </w:r>
    </w:p>
    <w:p w14:paraId="496EA316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t>IV – custo global de referência: valor resultante do somatório dos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custos totais de referência de todos os serviços necessários à plena execução da obra ou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serviço de engenharia;</w:t>
      </w:r>
    </w:p>
    <w:p w14:paraId="050048FC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t>V – benefícios e despesas indiretas - BDI: valor percentual que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incide sobre o custo global de referência para realização da obra ou serviço de engenharia;</w:t>
      </w:r>
    </w:p>
    <w:p w14:paraId="06AC5437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t>VI – preço global de referência: valor do custo global de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referência acrescido do pe</w:t>
      </w:r>
      <w:r w:rsidRPr="00132EC5">
        <w:rPr>
          <w:rFonts w:cs="Arial"/>
          <w:color w:val="000000"/>
          <w:szCs w:val="24"/>
        </w:rPr>
        <w:t>r</w:t>
      </w:r>
      <w:r w:rsidRPr="00132EC5">
        <w:rPr>
          <w:rFonts w:cs="Arial"/>
          <w:color w:val="000000"/>
          <w:szCs w:val="24"/>
        </w:rPr>
        <w:t>centual correspondente ao BDI;</w:t>
      </w:r>
    </w:p>
    <w:p w14:paraId="7E261FD6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t>VII – valor global do contrato: valor total da remuneração a ser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paga pela administr</w:t>
      </w:r>
      <w:r w:rsidRPr="00132EC5">
        <w:rPr>
          <w:rFonts w:cs="Arial"/>
          <w:color w:val="000000"/>
          <w:szCs w:val="24"/>
        </w:rPr>
        <w:t>a</w:t>
      </w:r>
      <w:r w:rsidRPr="00132EC5">
        <w:rPr>
          <w:rFonts w:cs="Arial"/>
          <w:color w:val="000000"/>
          <w:szCs w:val="24"/>
        </w:rPr>
        <w:t>ção pública ao contratado e previsto no ato de celebração do contrato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para realiz</w:t>
      </w:r>
      <w:r w:rsidRPr="00132EC5">
        <w:rPr>
          <w:rFonts w:cs="Arial"/>
          <w:color w:val="000000"/>
          <w:szCs w:val="24"/>
        </w:rPr>
        <w:t>a</w:t>
      </w:r>
      <w:r w:rsidRPr="00132EC5">
        <w:rPr>
          <w:rFonts w:cs="Arial"/>
          <w:color w:val="000000"/>
          <w:szCs w:val="24"/>
        </w:rPr>
        <w:t>ção de obra ou serviço de engenharia;</w:t>
      </w:r>
    </w:p>
    <w:p w14:paraId="63A577ED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t>VIII – orçamento de referência: detalhamento do preço global de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referência que e</w:t>
      </w:r>
      <w:r w:rsidRPr="00132EC5">
        <w:rPr>
          <w:rFonts w:cs="Arial"/>
          <w:color w:val="000000"/>
          <w:szCs w:val="24"/>
        </w:rPr>
        <w:t>x</w:t>
      </w:r>
      <w:r w:rsidRPr="00132EC5">
        <w:rPr>
          <w:rFonts w:cs="Arial"/>
          <w:color w:val="000000"/>
          <w:szCs w:val="24"/>
        </w:rPr>
        <w:t>pressa a descrição, quantidades e custos unitários de todos os serviços,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incluídas as respectivas composições de custos unitários, necessários à execução da obra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e compatíveis com o projeto que integra o edital de licitação;</w:t>
      </w:r>
    </w:p>
    <w:p w14:paraId="11878280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t>IX – critério de aceitabilidade de preço: parâmetros de preços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máximos, unitários e global, a serem fixados pela administração pública e publicados no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edital de licitação para aceitação e julgamento das propostas dos licitantes;</w:t>
      </w:r>
    </w:p>
    <w:p w14:paraId="29D47864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t>X – empreitada: negócio jurídico por meio do qual a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administração pública atribui a um contratado a obrigação de cumprir a execução de uma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obra ou serviço;</w:t>
      </w:r>
    </w:p>
    <w:p w14:paraId="1852CDB4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lastRenderedPageBreak/>
        <w:t>XI – regime de empreitada: forma de contratação que contempla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critério de apuração do valor da remuneração a ser paga pela administração pública ao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contratado em razão da execução do objeto;</w:t>
      </w:r>
    </w:p>
    <w:p w14:paraId="471C5525" w14:textId="5FE9684A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t>XII – tarefa: quando se ajusta mão de obra para pequenos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trabalhos por preço certo, com ou sem fornecimento de materiais;</w:t>
      </w:r>
    </w:p>
    <w:p w14:paraId="1EA4A060" w14:textId="77777777" w:rsidR="00830547" w:rsidRPr="00132EC5" w:rsidRDefault="00B46C3D" w:rsidP="001C3C95">
      <w:pPr>
        <w:spacing w:after="120" w:line="360" w:lineRule="auto"/>
        <w:rPr>
          <w:rFonts w:cs="Arial"/>
          <w:color w:val="000000"/>
          <w:szCs w:val="24"/>
        </w:rPr>
      </w:pPr>
      <w:r w:rsidRPr="00132EC5">
        <w:rPr>
          <w:rFonts w:cs="Arial"/>
          <w:color w:val="000000"/>
          <w:szCs w:val="24"/>
        </w:rPr>
        <w:t>XIII – regime de empreitada por preço unitário: quando se</w:t>
      </w:r>
      <w:r w:rsidR="00830547" w:rsidRPr="00132EC5">
        <w:rPr>
          <w:rFonts w:cs="Arial"/>
          <w:color w:val="000000"/>
          <w:szCs w:val="24"/>
        </w:rPr>
        <w:t xml:space="preserve"> </w:t>
      </w:r>
      <w:r w:rsidRPr="00132EC5">
        <w:rPr>
          <w:rFonts w:cs="Arial"/>
          <w:color w:val="000000"/>
          <w:szCs w:val="24"/>
        </w:rPr>
        <w:t>contrata a execução da obra ou do serviço por preço certo de unidades determinadas;</w:t>
      </w:r>
      <w:r w:rsidR="00830547" w:rsidRPr="00132EC5">
        <w:rPr>
          <w:rFonts w:cs="Arial"/>
          <w:color w:val="000000"/>
          <w:szCs w:val="24"/>
        </w:rPr>
        <w:t xml:space="preserve"> </w:t>
      </w:r>
    </w:p>
    <w:p w14:paraId="1E0ECD03" w14:textId="77777777" w:rsidR="00830547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XIV – regime de empreitada por preço global: quando se contrata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a execução da obra ou do serviço por preço certo e total;</w:t>
      </w:r>
    </w:p>
    <w:p w14:paraId="3F7CD9BB" w14:textId="77777777" w:rsidR="00830547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XV – regime de empreitada integral: quando se contrata um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empreendimento em sua integralidade, compreendidas todas as etapas das obras, serviços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e instalações necessárias, sob inteira responsabilidade da contratada até a sua entrega ao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contr</w:t>
      </w:r>
      <w:r w:rsidRPr="0000607E">
        <w:rPr>
          <w:rFonts w:cs="Arial"/>
          <w:color w:val="000000" w:themeColor="text1"/>
          <w:szCs w:val="24"/>
        </w:rPr>
        <w:t>a</w:t>
      </w:r>
      <w:r w:rsidRPr="0000607E">
        <w:rPr>
          <w:rFonts w:cs="Arial"/>
          <w:color w:val="000000" w:themeColor="text1"/>
          <w:szCs w:val="24"/>
        </w:rPr>
        <w:t>tante em condições de entrada em operação, atendidos os requisitos técnicos e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l</w:t>
      </w:r>
      <w:r w:rsidRPr="0000607E">
        <w:rPr>
          <w:rFonts w:cs="Arial"/>
          <w:color w:val="000000" w:themeColor="text1"/>
          <w:szCs w:val="24"/>
        </w:rPr>
        <w:t>e</w:t>
      </w:r>
      <w:r w:rsidRPr="0000607E">
        <w:rPr>
          <w:rFonts w:cs="Arial"/>
          <w:color w:val="000000" w:themeColor="text1"/>
          <w:szCs w:val="24"/>
        </w:rPr>
        <w:t>gais para sua utilização em condições de segurança estrutural e operacional e com as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 xml:space="preserve">características adequadas às finalidades para que </w:t>
      </w:r>
      <w:proofErr w:type="gramStart"/>
      <w:r w:rsidRPr="0000607E">
        <w:rPr>
          <w:rFonts w:cs="Arial"/>
          <w:color w:val="000000" w:themeColor="text1"/>
          <w:szCs w:val="24"/>
        </w:rPr>
        <w:t>foi</w:t>
      </w:r>
      <w:proofErr w:type="gramEnd"/>
      <w:r w:rsidRPr="0000607E">
        <w:rPr>
          <w:rFonts w:cs="Arial"/>
          <w:color w:val="000000" w:themeColor="text1"/>
          <w:szCs w:val="24"/>
        </w:rPr>
        <w:t xml:space="preserve"> contratada;</w:t>
      </w:r>
    </w:p>
    <w:p w14:paraId="369FEB98" w14:textId="45574402" w:rsidR="00830547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XVI – análise paramétrica do orçamento: método de aferição de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orçamento de obra ou de etapa realizada com a utilização de estimativas de valores de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custos de obras com características semelhantes.</w:t>
      </w:r>
    </w:p>
    <w:p w14:paraId="3FD8DA6B" w14:textId="77777777" w:rsidR="00830547" w:rsidRPr="0000607E" w:rsidRDefault="00830547" w:rsidP="001C3C95">
      <w:pPr>
        <w:spacing w:after="120" w:line="360" w:lineRule="auto"/>
        <w:rPr>
          <w:rFonts w:cs="Arial"/>
          <w:color w:val="000000" w:themeColor="text1"/>
          <w:szCs w:val="24"/>
        </w:rPr>
      </w:pPr>
    </w:p>
    <w:p w14:paraId="0049854A" w14:textId="77777777" w:rsidR="00830547" w:rsidRPr="0000607E" w:rsidRDefault="00B46C3D" w:rsidP="001C3C95">
      <w:pPr>
        <w:spacing w:after="12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t>CAPÍTULO II</w:t>
      </w:r>
    </w:p>
    <w:p w14:paraId="6B152819" w14:textId="77777777" w:rsidR="00830547" w:rsidRPr="0000607E" w:rsidRDefault="00B46C3D" w:rsidP="001C3C95">
      <w:pPr>
        <w:spacing w:after="120" w:line="360" w:lineRule="auto"/>
        <w:jc w:val="center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DA ELABORAÇÃO DO ORÇAMENTO DE REFERÊNCIA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DE OBRAS E SERVIÇOS DE ENGENHARIA</w:t>
      </w:r>
    </w:p>
    <w:p w14:paraId="53F59896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t>Art. 3</w:t>
      </w:r>
      <w:r w:rsidRPr="0000607E">
        <w:rPr>
          <w:rFonts w:cs="Arial"/>
          <w:color w:val="000000" w:themeColor="text1"/>
          <w:szCs w:val="24"/>
        </w:rPr>
        <w:t>º O custo global de referência de obras e serviços de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engenharia, exceto os serviços e obras de infraestrutura de transporte, será obtido a partir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das compos</w:t>
      </w:r>
      <w:r w:rsidRPr="0000607E">
        <w:rPr>
          <w:rFonts w:cs="Arial"/>
          <w:color w:val="000000" w:themeColor="text1"/>
          <w:szCs w:val="24"/>
        </w:rPr>
        <w:t>i</w:t>
      </w:r>
      <w:r w:rsidRPr="0000607E">
        <w:rPr>
          <w:rFonts w:cs="Arial"/>
          <w:color w:val="000000" w:themeColor="text1"/>
          <w:szCs w:val="24"/>
        </w:rPr>
        <w:t>ções dos custos unitários previstas no projeto que integra o edital de licitação,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men</w:t>
      </w:r>
      <w:r w:rsidRPr="0000607E">
        <w:rPr>
          <w:rFonts w:cs="Arial"/>
          <w:color w:val="000000" w:themeColor="text1"/>
          <w:szCs w:val="24"/>
        </w:rPr>
        <w:t>o</w:t>
      </w:r>
      <w:r w:rsidRPr="0000607E">
        <w:rPr>
          <w:rFonts w:cs="Arial"/>
          <w:color w:val="000000" w:themeColor="text1"/>
          <w:szCs w:val="24"/>
        </w:rPr>
        <w:t>res ou iguais à mediana de seus correspondentes nos custos unitários de referência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 xml:space="preserve">do Sistema Nacional de Pesquisa de Custos e Índices da Construção Civil - </w:t>
      </w:r>
      <w:r w:rsidR="00830547" w:rsidRPr="0000607E">
        <w:rPr>
          <w:rFonts w:cs="Arial"/>
          <w:color w:val="000000" w:themeColor="text1"/>
          <w:szCs w:val="24"/>
        </w:rPr>
        <w:t>SINAPI</w:t>
      </w:r>
      <w:r w:rsidRPr="0000607E">
        <w:rPr>
          <w:rFonts w:cs="Arial"/>
          <w:color w:val="000000" w:themeColor="text1"/>
          <w:szCs w:val="24"/>
        </w:rPr>
        <w:t>,</w:t>
      </w:r>
      <w:r w:rsidR="00830547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lastRenderedPageBreak/>
        <w:t>excetuados os itens caracterizados como montagem industrial ou que não possam ser</w:t>
      </w:r>
      <w:r w:rsidRPr="0000607E">
        <w:rPr>
          <w:rFonts w:cs="Arial"/>
          <w:color w:val="000000" w:themeColor="text1"/>
          <w:szCs w:val="24"/>
        </w:rPr>
        <w:br/>
        <w:t>considerados como de construção civil.</w:t>
      </w:r>
    </w:p>
    <w:p w14:paraId="79573314" w14:textId="77777777" w:rsidR="001C3C9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Parágrafo único. A não utilização do Sistema Nacional de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Pesquisa de Custos e Í</w:t>
      </w:r>
      <w:r w:rsidRPr="0000607E">
        <w:rPr>
          <w:rFonts w:cs="Arial"/>
          <w:color w:val="000000" w:themeColor="text1"/>
          <w:szCs w:val="24"/>
        </w:rPr>
        <w:t>n</w:t>
      </w:r>
      <w:r w:rsidRPr="0000607E">
        <w:rPr>
          <w:rFonts w:cs="Arial"/>
          <w:color w:val="000000" w:themeColor="text1"/>
          <w:szCs w:val="24"/>
        </w:rPr>
        <w:t xml:space="preserve">dices da Construção Civil – </w:t>
      </w:r>
      <w:r w:rsidR="00EC4945" w:rsidRPr="0000607E">
        <w:rPr>
          <w:rFonts w:cs="Arial"/>
          <w:color w:val="000000" w:themeColor="text1"/>
          <w:szCs w:val="24"/>
        </w:rPr>
        <w:t>SINAPI</w:t>
      </w:r>
      <w:r w:rsidRPr="0000607E">
        <w:rPr>
          <w:rFonts w:cs="Arial"/>
          <w:color w:val="000000" w:themeColor="text1"/>
          <w:szCs w:val="24"/>
        </w:rPr>
        <w:t>, deverá ser justificada por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escrito e anexada ao respectivo processo de contratação.</w:t>
      </w:r>
    </w:p>
    <w:p w14:paraId="7DAB21A0" w14:textId="0A910AC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t>Art. 4</w:t>
      </w:r>
      <w:r w:rsidRPr="0000607E">
        <w:rPr>
          <w:rFonts w:cs="Arial"/>
          <w:color w:val="000000" w:themeColor="text1"/>
          <w:szCs w:val="24"/>
        </w:rPr>
        <w:t>º O custo global de referência dos serviços e obras de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infraestrutura de tran</w:t>
      </w:r>
      <w:r w:rsidRPr="0000607E">
        <w:rPr>
          <w:rFonts w:cs="Arial"/>
          <w:color w:val="000000" w:themeColor="text1"/>
          <w:szCs w:val="24"/>
        </w:rPr>
        <w:t>s</w:t>
      </w:r>
      <w:r w:rsidRPr="0000607E">
        <w:rPr>
          <w:rFonts w:cs="Arial"/>
          <w:color w:val="000000" w:themeColor="text1"/>
          <w:szCs w:val="24"/>
        </w:rPr>
        <w:t>portes será obtido a partir das composições dos custos unitários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previstas no projeto que integra o edital de licitação, menores ou iguais aos seus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correspondentes nos custos unitários de referência do Sistema de Custos Referenciais de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 xml:space="preserve">Obras - </w:t>
      </w:r>
      <w:r w:rsidR="00EC4945" w:rsidRPr="0000607E">
        <w:rPr>
          <w:rFonts w:cs="Arial"/>
          <w:color w:val="000000" w:themeColor="text1"/>
          <w:szCs w:val="24"/>
        </w:rPr>
        <w:t>SICRO</w:t>
      </w:r>
      <w:r w:rsidRPr="0000607E">
        <w:rPr>
          <w:rFonts w:cs="Arial"/>
          <w:color w:val="000000" w:themeColor="text1"/>
          <w:szCs w:val="24"/>
        </w:rPr>
        <w:t>, divulgado pelo Departamento Nacional de Infraestrutura de Transportes -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DNIT, e</w:t>
      </w:r>
      <w:r w:rsidRPr="0000607E">
        <w:rPr>
          <w:rFonts w:cs="Arial"/>
          <w:color w:val="000000" w:themeColor="text1"/>
          <w:szCs w:val="24"/>
        </w:rPr>
        <w:t>x</w:t>
      </w:r>
      <w:r w:rsidRPr="0000607E">
        <w:rPr>
          <w:rFonts w:cs="Arial"/>
          <w:color w:val="000000" w:themeColor="text1"/>
          <w:szCs w:val="24"/>
        </w:rPr>
        <w:t>cetuados os itens caracterizados como montagem industrial ou que não possam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ser considerados como de infraestrutura de transportes.</w:t>
      </w:r>
    </w:p>
    <w:p w14:paraId="4DDEEE97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Parágrafo único. A não utilização do Sistema de Custos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 xml:space="preserve">Referenciais de Obras - </w:t>
      </w:r>
      <w:r w:rsidR="00EC4945" w:rsidRPr="0000607E">
        <w:rPr>
          <w:rFonts w:cs="Arial"/>
          <w:color w:val="000000" w:themeColor="text1"/>
          <w:szCs w:val="24"/>
        </w:rPr>
        <w:t>S</w:t>
      </w:r>
      <w:r w:rsidR="00EC4945" w:rsidRPr="0000607E">
        <w:rPr>
          <w:rFonts w:cs="Arial"/>
          <w:color w:val="000000" w:themeColor="text1"/>
          <w:szCs w:val="24"/>
        </w:rPr>
        <w:t>I</w:t>
      </w:r>
      <w:r w:rsidR="00EC4945" w:rsidRPr="0000607E">
        <w:rPr>
          <w:rFonts w:cs="Arial"/>
          <w:color w:val="000000" w:themeColor="text1"/>
          <w:szCs w:val="24"/>
        </w:rPr>
        <w:t>CRO</w:t>
      </w:r>
      <w:r w:rsidRPr="0000607E">
        <w:rPr>
          <w:rFonts w:cs="Arial"/>
          <w:color w:val="000000" w:themeColor="text1"/>
          <w:szCs w:val="24"/>
        </w:rPr>
        <w:t>, deverá ser justificada por escrito e anexada ao respectivo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processo de contr</w:t>
      </w:r>
      <w:r w:rsidRPr="0000607E">
        <w:rPr>
          <w:rFonts w:cs="Arial"/>
          <w:color w:val="000000" w:themeColor="text1"/>
          <w:szCs w:val="24"/>
        </w:rPr>
        <w:t>a</w:t>
      </w:r>
      <w:r w:rsidRPr="0000607E">
        <w:rPr>
          <w:rFonts w:cs="Arial"/>
          <w:color w:val="000000" w:themeColor="text1"/>
          <w:szCs w:val="24"/>
        </w:rPr>
        <w:t>tação.</w:t>
      </w:r>
    </w:p>
    <w:p w14:paraId="2373BA37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t>Art. 5</w:t>
      </w:r>
      <w:r w:rsidRPr="0000607E">
        <w:rPr>
          <w:rFonts w:cs="Arial"/>
          <w:color w:val="000000" w:themeColor="text1"/>
          <w:szCs w:val="24"/>
        </w:rPr>
        <w:t>º Em caso de inviabilidade da definição dos custos conforme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o disposto nos artigos 3º e 4º deste Decreto, a estimativa de custo global poderá ser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apurada por meio da utilização de dados contidos em tabela de referência formalmente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aprovada por órgãos ou entidades da administração pública federal e estadual, em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public</w:t>
      </w:r>
      <w:r w:rsidRPr="0000607E">
        <w:rPr>
          <w:rFonts w:cs="Arial"/>
          <w:color w:val="000000" w:themeColor="text1"/>
          <w:szCs w:val="24"/>
        </w:rPr>
        <w:t>a</w:t>
      </w:r>
      <w:r w:rsidRPr="0000607E">
        <w:rPr>
          <w:rFonts w:cs="Arial"/>
          <w:color w:val="000000" w:themeColor="text1"/>
          <w:szCs w:val="24"/>
        </w:rPr>
        <w:t>ções técnicas especializadas, em sistema específico instituído para o setor ou em</w:t>
      </w:r>
      <w:r w:rsidRPr="0000607E">
        <w:rPr>
          <w:rFonts w:cs="Arial"/>
          <w:color w:val="000000" w:themeColor="text1"/>
          <w:szCs w:val="24"/>
        </w:rPr>
        <w:br/>
        <w:t>pesquisa de mercado.</w:t>
      </w:r>
    </w:p>
    <w:p w14:paraId="2972C5A1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t>Art. 6</w:t>
      </w:r>
      <w:r w:rsidRPr="0000607E">
        <w:rPr>
          <w:rFonts w:cs="Arial"/>
          <w:color w:val="000000" w:themeColor="text1"/>
          <w:szCs w:val="24"/>
        </w:rPr>
        <w:t>º Na elaboração dos orçamentos de referência, os órgãos 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entidades referidos no artigo 1º deste Decreto, poderão adotar especificidades locais ou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de projeto na elaboração das respectivas composições de custo unitário, desde que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demonstrada a pertinência dos ajustes para a obra ou serviço de engenharia a ser orçado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em rel</w:t>
      </w:r>
      <w:r w:rsidRPr="0000607E">
        <w:rPr>
          <w:rFonts w:cs="Arial"/>
          <w:color w:val="000000" w:themeColor="text1"/>
          <w:szCs w:val="24"/>
        </w:rPr>
        <w:t>a</w:t>
      </w:r>
      <w:r w:rsidRPr="0000607E">
        <w:rPr>
          <w:rFonts w:cs="Arial"/>
          <w:color w:val="000000" w:themeColor="text1"/>
          <w:szCs w:val="24"/>
        </w:rPr>
        <w:t>tório técnico elaborado por profissional habilitado.</w:t>
      </w:r>
    </w:p>
    <w:p w14:paraId="7A0C05B0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lastRenderedPageBreak/>
        <w:t>Art. 7</w:t>
      </w:r>
      <w:r w:rsidRPr="0000607E">
        <w:rPr>
          <w:rFonts w:cs="Arial"/>
          <w:color w:val="000000" w:themeColor="text1"/>
          <w:szCs w:val="24"/>
        </w:rPr>
        <w:t>º O preço global de referência será o resultante do custo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global de referência acrescido do valor correspondente ao BDI, que deverá evidenciar em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sua compos</w:t>
      </w:r>
      <w:r w:rsidRPr="0000607E">
        <w:rPr>
          <w:rFonts w:cs="Arial"/>
          <w:color w:val="000000" w:themeColor="text1"/>
          <w:szCs w:val="24"/>
        </w:rPr>
        <w:t>i</w:t>
      </w:r>
      <w:r w:rsidRPr="0000607E">
        <w:rPr>
          <w:rFonts w:cs="Arial"/>
          <w:color w:val="000000" w:themeColor="text1"/>
          <w:szCs w:val="24"/>
        </w:rPr>
        <w:t>ção, no mínimo:</w:t>
      </w:r>
    </w:p>
    <w:p w14:paraId="66F81617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I – taxa de rateio da administração central;</w:t>
      </w:r>
    </w:p>
    <w:p w14:paraId="6C7D28E3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II – percentuais de tributos incidentes sobre o preço do serviço,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 xml:space="preserve">excluídos aqueles de natureza direta e </w:t>
      </w:r>
      <w:proofErr w:type="spellStart"/>
      <w:r w:rsidRPr="0000607E">
        <w:rPr>
          <w:rFonts w:cs="Arial"/>
          <w:color w:val="000000" w:themeColor="text1"/>
          <w:szCs w:val="24"/>
        </w:rPr>
        <w:t>personalística</w:t>
      </w:r>
      <w:proofErr w:type="spellEnd"/>
      <w:r w:rsidRPr="0000607E">
        <w:rPr>
          <w:rFonts w:cs="Arial"/>
          <w:color w:val="000000" w:themeColor="text1"/>
          <w:szCs w:val="24"/>
        </w:rPr>
        <w:t xml:space="preserve"> que oneram o contratado;</w:t>
      </w:r>
    </w:p>
    <w:p w14:paraId="0EE86ECC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III – taxa de risco, seguro e garantia do empreendimento;</w:t>
      </w:r>
    </w:p>
    <w:p w14:paraId="576A3B3C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IV – taxa de lucro.</w:t>
      </w:r>
    </w:p>
    <w:p w14:paraId="411F56C8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§ 1º Comprovada a inviabilidade técnico-econômica de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parcelamento do objeto da licitação, nos termos da legislação em vigor, os itens de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fornecimento de materiais e equipamentos de natureza específica que possam ser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fornecidos por empresas com especialidades próprias e diversas e que representem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percentual significativo do preço global da obra devem apresentar incidência de taxa de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BDI reduzida em rel</w:t>
      </w:r>
      <w:r w:rsidRPr="0000607E">
        <w:rPr>
          <w:rFonts w:cs="Arial"/>
          <w:color w:val="000000" w:themeColor="text1"/>
          <w:szCs w:val="24"/>
        </w:rPr>
        <w:t>a</w:t>
      </w:r>
      <w:r w:rsidRPr="0000607E">
        <w:rPr>
          <w:rFonts w:cs="Arial"/>
          <w:color w:val="000000" w:themeColor="text1"/>
          <w:szCs w:val="24"/>
        </w:rPr>
        <w:t>ção à taxa aplicável aos demais itens.</w:t>
      </w:r>
    </w:p>
    <w:p w14:paraId="47153E8B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§ 2º No caso do fornecimento de equipamentos, sistemas 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materiais em que o co</w:t>
      </w:r>
      <w:r w:rsidRPr="0000607E">
        <w:rPr>
          <w:rFonts w:cs="Arial"/>
          <w:color w:val="000000" w:themeColor="text1"/>
          <w:szCs w:val="24"/>
        </w:rPr>
        <w:t>n</w:t>
      </w:r>
      <w:r w:rsidRPr="0000607E">
        <w:rPr>
          <w:rFonts w:cs="Arial"/>
          <w:color w:val="000000" w:themeColor="text1"/>
          <w:szCs w:val="24"/>
        </w:rPr>
        <w:t>tratado não atue como intermediário entre o fabricante e a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administração pública ou que tenham projetos, fabricação e logísticas não padronizados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e não enquadrados como itens de fabricação regular e contínua nos mercados nacional ou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internacional, o BDI poderá ser calculado e justificado com base na complexidade da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aquisição, com exceção à regra prevista no § 1º deste artigo.</w:t>
      </w:r>
    </w:p>
    <w:p w14:paraId="1EE1D13B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t>Art. 8</w:t>
      </w:r>
      <w:r w:rsidRPr="0000607E">
        <w:rPr>
          <w:rFonts w:cs="Arial"/>
          <w:color w:val="000000" w:themeColor="text1"/>
          <w:szCs w:val="24"/>
        </w:rPr>
        <w:t>º A anotação de responsabilidade técnica pelas planilhas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orçamentárias deverá constar do projeto que integrar o edital de licitação, inclusive de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suas eventuais alt</w:t>
      </w:r>
      <w:r w:rsidRPr="0000607E">
        <w:rPr>
          <w:rFonts w:cs="Arial"/>
          <w:color w:val="000000" w:themeColor="text1"/>
          <w:szCs w:val="24"/>
        </w:rPr>
        <w:t>e</w:t>
      </w:r>
      <w:r w:rsidRPr="0000607E">
        <w:rPr>
          <w:rFonts w:cs="Arial"/>
          <w:color w:val="000000" w:themeColor="text1"/>
          <w:szCs w:val="24"/>
        </w:rPr>
        <w:t>rações.</w:t>
      </w:r>
    </w:p>
    <w:p w14:paraId="044DA364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t>Art. 9</w:t>
      </w:r>
      <w:r w:rsidRPr="0000607E">
        <w:rPr>
          <w:rFonts w:cs="Arial"/>
          <w:color w:val="000000" w:themeColor="text1"/>
          <w:szCs w:val="24"/>
        </w:rPr>
        <w:t>º Os critérios de aceitabilidade de preços deverão constar do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edital de licitação para contratação de obras e serviços de engenharia.</w:t>
      </w:r>
    </w:p>
    <w:p w14:paraId="72B1B006" w14:textId="37281622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lastRenderedPageBreak/>
        <w:t>Art. 10</w:t>
      </w:r>
      <w:r w:rsidRPr="0000607E">
        <w:rPr>
          <w:rFonts w:cs="Arial"/>
          <w:color w:val="000000" w:themeColor="text1"/>
          <w:szCs w:val="24"/>
        </w:rPr>
        <w:t xml:space="preserve"> A minuta de contrato deverá conter cronograma físico</w:t>
      </w:r>
      <w:r w:rsidR="00EC4945" w:rsidRPr="0000607E">
        <w:rPr>
          <w:rFonts w:cs="Arial"/>
          <w:color w:val="000000" w:themeColor="text1"/>
          <w:szCs w:val="24"/>
        </w:rPr>
        <w:t>-</w:t>
      </w:r>
      <w:r w:rsidRPr="0000607E">
        <w:rPr>
          <w:rFonts w:cs="Arial"/>
          <w:color w:val="000000" w:themeColor="text1"/>
          <w:szCs w:val="24"/>
        </w:rPr>
        <w:t>financeiro com a e</w:t>
      </w:r>
      <w:r w:rsidRPr="0000607E">
        <w:rPr>
          <w:rFonts w:cs="Arial"/>
          <w:color w:val="000000" w:themeColor="text1"/>
          <w:szCs w:val="24"/>
        </w:rPr>
        <w:t>s</w:t>
      </w:r>
      <w:r w:rsidRPr="0000607E">
        <w:rPr>
          <w:rFonts w:cs="Arial"/>
          <w:color w:val="000000" w:themeColor="text1"/>
          <w:szCs w:val="24"/>
        </w:rPr>
        <w:t>pecificação física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completa das etapas necessárias à medição, ao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monitoramento e ao controle das obras.</w:t>
      </w:r>
    </w:p>
    <w:p w14:paraId="17E5F510" w14:textId="77777777" w:rsidR="00EC4945" w:rsidRPr="0000607E" w:rsidRDefault="00EC4945" w:rsidP="001C3C95">
      <w:pPr>
        <w:spacing w:after="120" w:line="360" w:lineRule="auto"/>
        <w:rPr>
          <w:rFonts w:cs="Arial"/>
          <w:color w:val="000000" w:themeColor="text1"/>
          <w:szCs w:val="24"/>
        </w:rPr>
      </w:pPr>
    </w:p>
    <w:p w14:paraId="17C31FFB" w14:textId="77777777" w:rsidR="00EC4945" w:rsidRPr="0000607E" w:rsidRDefault="00B46C3D" w:rsidP="001C3C95">
      <w:pPr>
        <w:spacing w:after="12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t>CAPÍTULO III</w:t>
      </w:r>
    </w:p>
    <w:p w14:paraId="0C2D8C6E" w14:textId="77777777" w:rsidR="00EC4945" w:rsidRPr="0000607E" w:rsidRDefault="00B46C3D" w:rsidP="001C3C95">
      <w:pPr>
        <w:spacing w:after="120" w:line="360" w:lineRule="auto"/>
        <w:jc w:val="center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DA FORMAÇÃO DOS PREÇOS DAS PROPOSTAS 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</w:p>
    <w:p w14:paraId="1FE7D1F8" w14:textId="52A8972A" w:rsidR="00EC4945" w:rsidRPr="0000607E" w:rsidRDefault="00B46C3D" w:rsidP="001C3C95">
      <w:pPr>
        <w:spacing w:after="120" w:line="360" w:lineRule="auto"/>
        <w:jc w:val="center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CELEBRAÇÃO DE ADITIVOS EM OBRAS E SERVIÇOS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DE ENGENHARIA</w:t>
      </w:r>
    </w:p>
    <w:p w14:paraId="23A34A60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t>Art. 11</w:t>
      </w:r>
      <w:r w:rsidRPr="0000607E">
        <w:rPr>
          <w:rFonts w:cs="Arial"/>
          <w:color w:val="000000" w:themeColor="text1"/>
          <w:szCs w:val="24"/>
        </w:rPr>
        <w:t xml:space="preserve"> Em caso de adoção dos regimes de empreitada por preço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global e de e</w:t>
      </w:r>
      <w:r w:rsidRPr="0000607E">
        <w:rPr>
          <w:rFonts w:cs="Arial"/>
          <w:color w:val="000000" w:themeColor="text1"/>
          <w:szCs w:val="24"/>
        </w:rPr>
        <w:t>m</w:t>
      </w:r>
      <w:r w:rsidRPr="0000607E">
        <w:rPr>
          <w:rFonts w:cs="Arial"/>
          <w:color w:val="000000" w:themeColor="text1"/>
          <w:szCs w:val="24"/>
        </w:rPr>
        <w:t>preitada integral, na formação do preço que constará das propostas dos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licitantes, poderão ser utilizados custos unitários diferentes daqueles obtidos a partir dos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si</w:t>
      </w:r>
      <w:r w:rsidRPr="0000607E">
        <w:rPr>
          <w:rFonts w:cs="Arial"/>
          <w:color w:val="000000" w:themeColor="text1"/>
          <w:szCs w:val="24"/>
        </w:rPr>
        <w:t>s</w:t>
      </w:r>
      <w:r w:rsidRPr="0000607E">
        <w:rPr>
          <w:rFonts w:cs="Arial"/>
          <w:color w:val="000000" w:themeColor="text1"/>
          <w:szCs w:val="24"/>
        </w:rPr>
        <w:t>temas de custos de referência previstos neste Decreto, desde que o preço global orçado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e o de cada uma das etapas previstas no cronograma físico-financeiro do contrato,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observado o artigo 7º deste Decreto, fiquem iguais ou abaixo dos preços de referência da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administração pública obtidos na forma do Capítulo II, assegurado aos órgãos de controle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o acesso irrestrito a essas informações.</w:t>
      </w:r>
    </w:p>
    <w:p w14:paraId="2759D37A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Parágrafo único. Para o atendimento do artigo 9º deste Decreto,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os critérios de ace</w:t>
      </w:r>
      <w:r w:rsidRPr="0000607E">
        <w:rPr>
          <w:rFonts w:cs="Arial"/>
          <w:color w:val="000000" w:themeColor="text1"/>
          <w:szCs w:val="24"/>
        </w:rPr>
        <w:t>i</w:t>
      </w:r>
      <w:r w:rsidRPr="0000607E">
        <w:rPr>
          <w:rFonts w:cs="Arial"/>
          <w:color w:val="000000" w:themeColor="text1"/>
          <w:szCs w:val="24"/>
        </w:rPr>
        <w:t>tabilidade de preços serão definidos em relação ao preço global e de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cada uma das etapas previstas no cronograma físico-financeiro do contrato, que deverão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constar do edital de licitação.</w:t>
      </w:r>
    </w:p>
    <w:p w14:paraId="03A0C0B5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Art. 12 A diferença percentual entre o valor global do contrato 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o preço global de referência não poderá ser reduzida em favor do contratado em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decorrência de ad</w:t>
      </w:r>
      <w:r w:rsidRPr="0000607E">
        <w:rPr>
          <w:rFonts w:cs="Arial"/>
          <w:color w:val="000000" w:themeColor="text1"/>
          <w:szCs w:val="24"/>
        </w:rPr>
        <w:t>i</w:t>
      </w:r>
      <w:r w:rsidRPr="0000607E">
        <w:rPr>
          <w:rFonts w:cs="Arial"/>
          <w:color w:val="000000" w:themeColor="text1"/>
          <w:szCs w:val="24"/>
        </w:rPr>
        <w:t>tamentos que modifiquem a planilha orçamentária.</w:t>
      </w:r>
    </w:p>
    <w:p w14:paraId="42CC142B" w14:textId="0422AD1E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Parágrafo único. Em caso de adoção dos regimes de empreitada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 xml:space="preserve">por preço unitário e tarefa, a diferença a que se refere o </w:t>
      </w:r>
      <w:r w:rsidRPr="0000607E">
        <w:rPr>
          <w:rFonts w:cs="Arial"/>
          <w:i/>
          <w:iCs/>
          <w:color w:val="000000" w:themeColor="text1"/>
          <w:szCs w:val="24"/>
        </w:rPr>
        <w:t xml:space="preserve">caput </w:t>
      </w:r>
      <w:r w:rsidRPr="0000607E">
        <w:rPr>
          <w:rFonts w:cs="Arial"/>
          <w:color w:val="000000" w:themeColor="text1"/>
          <w:szCs w:val="24"/>
        </w:rPr>
        <w:t>deste artigo poderá ser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reduzida para a preservação do equilíbrio econômico-financeiro do contrato, em casos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excepcionais e justificados, desde que os custos unitários dos aditivos contratuais não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excedam os custos unitários do sistema de referência utilizado na forma deste Decreto,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ass</w:t>
      </w:r>
      <w:r w:rsidRPr="0000607E">
        <w:rPr>
          <w:rFonts w:cs="Arial"/>
          <w:color w:val="000000" w:themeColor="text1"/>
          <w:szCs w:val="24"/>
        </w:rPr>
        <w:t>e</w:t>
      </w:r>
      <w:r w:rsidRPr="0000607E">
        <w:rPr>
          <w:rFonts w:cs="Arial"/>
          <w:color w:val="000000" w:themeColor="text1"/>
          <w:szCs w:val="24"/>
        </w:rPr>
        <w:lastRenderedPageBreak/>
        <w:t>gurada a manutenção da vantagem da proposta vencedora ante a da segunda col</w:t>
      </w:r>
      <w:r w:rsidRPr="0000607E">
        <w:rPr>
          <w:rFonts w:cs="Arial"/>
          <w:color w:val="000000" w:themeColor="text1"/>
          <w:szCs w:val="24"/>
        </w:rPr>
        <w:t>o</w:t>
      </w:r>
      <w:r w:rsidRPr="0000607E">
        <w:rPr>
          <w:rFonts w:cs="Arial"/>
          <w:color w:val="000000" w:themeColor="text1"/>
          <w:szCs w:val="24"/>
        </w:rPr>
        <w:t>cada</w:t>
      </w:r>
      <w:r w:rsidR="001C3C9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na licitação.</w:t>
      </w:r>
    </w:p>
    <w:p w14:paraId="0C7B9FCE" w14:textId="77777777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t>Art. 13</w:t>
      </w:r>
      <w:r w:rsidRPr="0000607E">
        <w:rPr>
          <w:rFonts w:cs="Arial"/>
          <w:color w:val="000000" w:themeColor="text1"/>
          <w:szCs w:val="24"/>
        </w:rPr>
        <w:t xml:space="preserve"> A formação do preço dos aditivos contratuais contará com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orçamento espec</w:t>
      </w:r>
      <w:r w:rsidRPr="0000607E">
        <w:rPr>
          <w:rFonts w:cs="Arial"/>
          <w:color w:val="000000" w:themeColor="text1"/>
          <w:szCs w:val="24"/>
        </w:rPr>
        <w:t>í</w:t>
      </w:r>
      <w:r w:rsidRPr="0000607E">
        <w:rPr>
          <w:rFonts w:cs="Arial"/>
          <w:color w:val="000000" w:themeColor="text1"/>
          <w:szCs w:val="24"/>
        </w:rPr>
        <w:t>fico detalhado em planilhas elaboradas pelo órgão ou entidade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competente, na fo</w:t>
      </w:r>
      <w:r w:rsidRPr="0000607E">
        <w:rPr>
          <w:rFonts w:cs="Arial"/>
          <w:color w:val="000000" w:themeColor="text1"/>
          <w:szCs w:val="24"/>
        </w:rPr>
        <w:t>r</w:t>
      </w:r>
      <w:r w:rsidRPr="0000607E">
        <w:rPr>
          <w:rFonts w:cs="Arial"/>
          <w:color w:val="000000" w:themeColor="text1"/>
          <w:szCs w:val="24"/>
        </w:rPr>
        <w:t>ma prevista no Capítulo II deste Decreto, observado o disposto no</w:t>
      </w:r>
    </w:p>
    <w:p w14:paraId="5F318F78" w14:textId="2F185F92" w:rsidR="00EC4945" w:rsidRPr="0000607E" w:rsidRDefault="00B46C3D" w:rsidP="001C3C95">
      <w:pPr>
        <w:spacing w:after="120" w:line="360" w:lineRule="auto"/>
        <w:rPr>
          <w:rFonts w:cs="Arial"/>
          <w:color w:val="000000" w:themeColor="text1"/>
          <w:szCs w:val="24"/>
        </w:rPr>
      </w:pPr>
      <w:proofErr w:type="gramStart"/>
      <w:r w:rsidRPr="0000607E">
        <w:rPr>
          <w:rFonts w:cs="Arial"/>
          <w:color w:val="000000" w:themeColor="text1"/>
          <w:szCs w:val="24"/>
        </w:rPr>
        <w:t>artigo</w:t>
      </w:r>
      <w:proofErr w:type="gramEnd"/>
      <w:r w:rsidRPr="0000607E">
        <w:rPr>
          <w:rFonts w:cs="Arial"/>
          <w:color w:val="000000" w:themeColor="text1"/>
          <w:szCs w:val="24"/>
        </w:rPr>
        <w:t xml:space="preserve"> 12 e mantidos os limites do previsto no artigo 125 da Lei Federal nº 14.133</w:t>
      </w:r>
      <w:r w:rsidR="00EC4945" w:rsidRPr="0000607E">
        <w:rPr>
          <w:rFonts w:cs="Arial"/>
          <w:color w:val="000000" w:themeColor="text1"/>
          <w:szCs w:val="24"/>
        </w:rPr>
        <w:t>/</w:t>
      </w:r>
      <w:r w:rsidRPr="0000607E">
        <w:rPr>
          <w:rFonts w:cs="Arial"/>
          <w:color w:val="000000" w:themeColor="text1"/>
          <w:szCs w:val="24"/>
        </w:rPr>
        <w:t>2021.</w:t>
      </w:r>
    </w:p>
    <w:p w14:paraId="2B24AD22" w14:textId="77777777" w:rsidR="00EC4945" w:rsidRPr="0000607E" w:rsidRDefault="00B46C3D" w:rsidP="001C3C95">
      <w:pPr>
        <w:spacing w:after="120" w:line="360" w:lineRule="auto"/>
        <w:jc w:val="center"/>
        <w:rPr>
          <w:rFonts w:cs="Arial"/>
          <w:b/>
          <w:bCs/>
          <w:color w:val="000000" w:themeColor="text1"/>
          <w:szCs w:val="24"/>
        </w:rPr>
      </w:pPr>
      <w:r w:rsidRPr="0000607E">
        <w:rPr>
          <w:rFonts w:cs="Arial"/>
          <w:b/>
          <w:bCs/>
          <w:color w:val="000000" w:themeColor="text1"/>
          <w:szCs w:val="24"/>
        </w:rPr>
        <w:t>CAPÍTULO IV</w:t>
      </w:r>
    </w:p>
    <w:p w14:paraId="2A4B331F" w14:textId="77777777" w:rsidR="00EC4945" w:rsidRPr="0000607E" w:rsidRDefault="00B46C3D" w:rsidP="001C3C95">
      <w:pPr>
        <w:spacing w:after="120" w:line="360" w:lineRule="auto"/>
        <w:jc w:val="center"/>
        <w:rPr>
          <w:rFonts w:cs="Arial"/>
          <w:color w:val="000000" w:themeColor="text1"/>
          <w:szCs w:val="24"/>
        </w:rPr>
      </w:pPr>
      <w:r w:rsidRPr="0000607E">
        <w:rPr>
          <w:rFonts w:cs="Arial"/>
          <w:color w:val="000000" w:themeColor="text1"/>
          <w:szCs w:val="24"/>
        </w:rPr>
        <w:t>DISPOSIÇÕES FINAIS</w:t>
      </w:r>
    </w:p>
    <w:p w14:paraId="4D2164F5" w14:textId="77777777" w:rsidR="00EC4945" w:rsidRPr="0000607E" w:rsidRDefault="00B46C3D" w:rsidP="001C3C95">
      <w:pPr>
        <w:spacing w:after="120" w:line="360" w:lineRule="auto"/>
        <w:rPr>
          <w:rStyle w:val="fontstyle21"/>
          <w:rFonts w:ascii="Arial" w:hAnsi="Arial" w:cs="Arial"/>
          <w:b/>
          <w:bCs/>
          <w:color w:val="000000" w:themeColor="text1"/>
        </w:rPr>
      </w:pPr>
      <w:r w:rsidRPr="0000607E">
        <w:rPr>
          <w:rFonts w:cs="Arial"/>
          <w:b/>
          <w:bCs/>
          <w:color w:val="000000" w:themeColor="text1"/>
          <w:szCs w:val="24"/>
        </w:rPr>
        <w:t>Art. 14</w:t>
      </w:r>
      <w:r w:rsidRPr="0000607E">
        <w:rPr>
          <w:rFonts w:cs="Arial"/>
          <w:color w:val="000000" w:themeColor="text1"/>
          <w:szCs w:val="24"/>
        </w:rPr>
        <w:t xml:space="preserve"> Aplica-se, no que couber, subsidiariamente, as</w:t>
      </w:r>
      <w:r w:rsidR="00EC4945" w:rsidRPr="0000607E">
        <w:rPr>
          <w:rFonts w:cs="Arial"/>
          <w:color w:val="000000" w:themeColor="text1"/>
          <w:szCs w:val="24"/>
        </w:rPr>
        <w:t xml:space="preserve"> </w:t>
      </w:r>
      <w:r w:rsidRPr="0000607E">
        <w:rPr>
          <w:rFonts w:cs="Arial"/>
          <w:color w:val="000000" w:themeColor="text1"/>
          <w:szCs w:val="24"/>
        </w:rPr>
        <w:t>disposições previstas no D</w:t>
      </w:r>
      <w:r w:rsidRPr="0000607E">
        <w:rPr>
          <w:rFonts w:cs="Arial"/>
          <w:color w:val="000000" w:themeColor="text1"/>
          <w:szCs w:val="24"/>
        </w:rPr>
        <w:t>e</w:t>
      </w:r>
      <w:r w:rsidRPr="0000607E">
        <w:rPr>
          <w:rFonts w:cs="Arial"/>
          <w:color w:val="000000" w:themeColor="text1"/>
          <w:szCs w:val="24"/>
        </w:rPr>
        <w:t>creto Federal nº 7.983/2013 e alterações posteriores.</w:t>
      </w:r>
    </w:p>
    <w:p w14:paraId="230FC57F" w14:textId="77777777" w:rsidR="00EC4945" w:rsidRPr="0000607E" w:rsidRDefault="00B46C3D" w:rsidP="001C3C95">
      <w:pPr>
        <w:spacing w:after="120" w:line="360" w:lineRule="auto"/>
        <w:rPr>
          <w:rFonts w:cs="Arial"/>
          <w:b/>
          <w:bCs/>
          <w:color w:val="000000" w:themeColor="text1"/>
          <w:szCs w:val="24"/>
        </w:rPr>
      </w:pPr>
      <w:r w:rsidRPr="0000607E">
        <w:rPr>
          <w:rFonts w:eastAsia="Times New Roman" w:cs="Arial"/>
          <w:b/>
          <w:bCs/>
          <w:color w:val="000000" w:themeColor="text1"/>
          <w:szCs w:val="24"/>
          <w:lang w:eastAsia="pt-BR"/>
        </w:rPr>
        <w:t xml:space="preserve">Art. </w:t>
      </w:r>
      <w:r w:rsidR="00EC4945" w:rsidRPr="0000607E">
        <w:rPr>
          <w:rFonts w:eastAsia="Times New Roman" w:cs="Arial"/>
          <w:b/>
          <w:bCs/>
          <w:color w:val="000000" w:themeColor="text1"/>
          <w:szCs w:val="24"/>
          <w:lang w:eastAsia="pt-BR"/>
        </w:rPr>
        <w:t>15</w:t>
      </w:r>
      <w:r w:rsidRPr="0000607E">
        <w:rPr>
          <w:rFonts w:eastAsia="Times New Roman" w:cs="Arial"/>
          <w:color w:val="000000" w:themeColor="text1"/>
          <w:szCs w:val="24"/>
          <w:lang w:eastAsia="pt-BR"/>
        </w:rPr>
        <w:t xml:space="preserve"> Este Decreto entra em vigor em 1º de janeiro de 2024. </w:t>
      </w:r>
    </w:p>
    <w:p w14:paraId="2C55FE99" w14:textId="77777777" w:rsidR="001C3C95" w:rsidRPr="0000607E" w:rsidRDefault="001C3C95" w:rsidP="001C3C95">
      <w:pPr>
        <w:spacing w:after="120" w:line="360" w:lineRule="auto"/>
        <w:rPr>
          <w:rFonts w:eastAsia="Times New Roman" w:cs="Arial"/>
          <w:color w:val="000000" w:themeColor="text1"/>
          <w:szCs w:val="24"/>
          <w:shd w:val="clear" w:color="auto" w:fill="FFFFFF"/>
          <w:lang w:eastAsia="pt-BR"/>
        </w:rPr>
      </w:pPr>
    </w:p>
    <w:p w14:paraId="3500D8CF" w14:textId="672B1F47" w:rsidR="00B46C3D" w:rsidRPr="0000607E" w:rsidRDefault="00B46C3D" w:rsidP="0000607E">
      <w:pPr>
        <w:spacing w:after="120" w:line="360" w:lineRule="auto"/>
        <w:jc w:val="right"/>
        <w:rPr>
          <w:rFonts w:cs="Arial"/>
          <w:b/>
          <w:bCs/>
          <w:color w:val="000000" w:themeColor="text1"/>
          <w:szCs w:val="24"/>
        </w:rPr>
      </w:pPr>
      <w:r w:rsidRPr="0000607E">
        <w:rPr>
          <w:rFonts w:eastAsia="Times New Roman" w:cs="Arial"/>
          <w:color w:val="000000" w:themeColor="text1"/>
          <w:szCs w:val="24"/>
          <w:shd w:val="clear" w:color="auto" w:fill="FFFFFF"/>
          <w:lang w:eastAsia="pt-BR"/>
        </w:rPr>
        <w:t xml:space="preserve">Santa Amélia/PR, </w:t>
      </w:r>
      <w:r w:rsidR="0000607E">
        <w:rPr>
          <w:rFonts w:eastAsia="Times New Roman" w:cs="Arial"/>
          <w:color w:val="000000" w:themeColor="text1"/>
          <w:szCs w:val="24"/>
          <w:lang w:eastAsia="pt-BR"/>
        </w:rPr>
        <w:t>28</w:t>
      </w:r>
      <w:r w:rsidRPr="0000607E">
        <w:rPr>
          <w:rFonts w:eastAsia="Times New Roman" w:cs="Arial"/>
          <w:color w:val="000000" w:themeColor="text1"/>
          <w:szCs w:val="24"/>
          <w:lang w:eastAsia="pt-BR"/>
        </w:rPr>
        <w:t xml:space="preserve"> de dezembro de 2023.</w:t>
      </w:r>
    </w:p>
    <w:p w14:paraId="7C8A5217" w14:textId="6A8F417D" w:rsidR="00B46C3D" w:rsidRPr="00132EC5" w:rsidRDefault="00B46C3D" w:rsidP="001C3C95">
      <w:pPr>
        <w:spacing w:after="120" w:line="360" w:lineRule="auto"/>
        <w:rPr>
          <w:rFonts w:eastAsia="Times New Roman" w:cs="Arial"/>
          <w:szCs w:val="24"/>
          <w:lang w:eastAsia="pt-BR"/>
        </w:rPr>
      </w:pPr>
    </w:p>
    <w:p w14:paraId="14D04296" w14:textId="77777777" w:rsidR="00CA5D95" w:rsidRPr="00132EC5" w:rsidRDefault="00CA5D95" w:rsidP="001C3C95">
      <w:pPr>
        <w:spacing w:after="120" w:line="360" w:lineRule="auto"/>
        <w:rPr>
          <w:rFonts w:eastAsia="Times New Roman" w:cs="Arial"/>
          <w:szCs w:val="24"/>
          <w:lang w:eastAsia="pt-BR"/>
        </w:rPr>
      </w:pPr>
    </w:p>
    <w:p w14:paraId="617C34D7" w14:textId="77777777" w:rsidR="00B46C3D" w:rsidRPr="00132EC5" w:rsidRDefault="00B46C3D" w:rsidP="00132EC5">
      <w:pPr>
        <w:spacing w:after="120" w:line="240" w:lineRule="auto"/>
        <w:jc w:val="center"/>
        <w:rPr>
          <w:rFonts w:eastAsia="Times New Roman" w:cs="Arial"/>
          <w:szCs w:val="24"/>
          <w:lang w:eastAsia="pt-BR"/>
        </w:rPr>
      </w:pPr>
      <w:r w:rsidRPr="00132EC5">
        <w:rPr>
          <w:rFonts w:eastAsia="Times New Roman" w:cs="Arial"/>
          <w:b/>
          <w:bCs/>
          <w:color w:val="000000"/>
          <w:szCs w:val="24"/>
          <w:lang w:eastAsia="pt-BR"/>
        </w:rPr>
        <w:t>ANTONIO CARLOS TAMAIS</w:t>
      </w:r>
    </w:p>
    <w:p w14:paraId="7503F8F0" w14:textId="77777777" w:rsidR="00B46C3D" w:rsidRPr="00132EC5" w:rsidRDefault="00B46C3D" w:rsidP="00132EC5">
      <w:pPr>
        <w:spacing w:after="120" w:line="240" w:lineRule="auto"/>
        <w:jc w:val="center"/>
        <w:rPr>
          <w:rFonts w:cs="Arial"/>
          <w:szCs w:val="24"/>
        </w:rPr>
      </w:pPr>
      <w:r w:rsidRPr="00132EC5">
        <w:rPr>
          <w:rFonts w:eastAsia="Times New Roman" w:cs="Arial"/>
          <w:color w:val="000000"/>
          <w:szCs w:val="24"/>
          <w:lang w:eastAsia="pt-BR"/>
        </w:rPr>
        <w:t>Prefeito Municipal</w:t>
      </w:r>
      <w:bookmarkStart w:id="0" w:name="_GoBack"/>
      <w:bookmarkEnd w:id="0"/>
    </w:p>
    <w:p w14:paraId="3FE15A9B" w14:textId="77777777" w:rsidR="008241C2" w:rsidRPr="00132EC5" w:rsidRDefault="008241C2" w:rsidP="001C3C95">
      <w:pPr>
        <w:spacing w:after="120" w:line="360" w:lineRule="auto"/>
        <w:rPr>
          <w:rFonts w:cs="Arial"/>
          <w:szCs w:val="24"/>
        </w:rPr>
      </w:pPr>
    </w:p>
    <w:sectPr w:rsidR="008241C2" w:rsidRPr="00132EC5" w:rsidSect="0042130A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701" w:left="1701" w:header="567" w:footer="567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66C4C" w14:textId="77777777" w:rsidR="00B14052" w:rsidRDefault="00B14052">
      <w:pPr>
        <w:spacing w:after="0" w:line="240" w:lineRule="auto"/>
      </w:pPr>
      <w:r>
        <w:separator/>
      </w:r>
    </w:p>
  </w:endnote>
  <w:endnote w:type="continuationSeparator" w:id="0">
    <w:p w14:paraId="67E4B3E4" w14:textId="77777777" w:rsidR="00B14052" w:rsidRDefault="00B1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5CA77" w14:textId="77777777" w:rsidR="00ED5D12" w:rsidRPr="00B60AC6" w:rsidRDefault="00CA5D95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134E1" w14:textId="77777777" w:rsidR="00B14052" w:rsidRDefault="00B14052">
      <w:pPr>
        <w:spacing w:after="0" w:line="240" w:lineRule="auto"/>
      </w:pPr>
      <w:r>
        <w:separator/>
      </w:r>
    </w:p>
  </w:footnote>
  <w:footnote w:type="continuationSeparator" w:id="0">
    <w:p w14:paraId="26253BFC" w14:textId="77777777" w:rsidR="00B14052" w:rsidRDefault="00B1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F1D0" w14:textId="77777777" w:rsidR="00750654" w:rsidRDefault="00B14052">
    <w:pPr>
      <w:pStyle w:val="Cabealho"/>
    </w:pPr>
    <w:r>
      <w:rPr>
        <w:noProof/>
        <w:lang w:eastAsia="pt-BR"/>
      </w:rPr>
      <w:pict w14:anchorId="34721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50" type="#_x0000_t75" style="position:absolute;left:0;text-align:left;margin-left:0;margin-top:0;width:61.75pt;height:84.35pt;z-index:-251658752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461CC" w14:textId="77777777" w:rsidR="00ED5D12" w:rsidRDefault="00B14052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</w:rPr>
      <w:pict w14:anchorId="1712D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1" type="#_x0000_t75" style="position:absolute;left:0;text-align:left;margin-left:13pt;margin-top:-100.65pt;width:57.8pt;height:78.95pt;z-index:-251657728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326892FF" w14:textId="77777777" w:rsidR="00ED5D12" w:rsidRPr="00E1341E" w:rsidRDefault="00CA5D95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E1341E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E1341E">
      <w:rPr>
        <w:rFonts w:ascii="Book Antiqua" w:hAnsi="Book Antiqua"/>
        <w:b/>
        <w:sz w:val="32"/>
        <w:szCs w:val="28"/>
      </w:rPr>
      <w:t>PREFEITURA MUNICIPAL DE SANTA AMÉLIA</w:t>
    </w:r>
  </w:p>
  <w:p w14:paraId="70DC09D7" w14:textId="77777777" w:rsidR="00E1341E" w:rsidRDefault="00CA5D95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ESTADO DO PARANÁ</w:t>
    </w:r>
  </w:p>
  <w:p w14:paraId="447268B4" w14:textId="77777777" w:rsidR="00ED5D12" w:rsidRPr="00E1341E" w:rsidRDefault="00CA5D95" w:rsidP="00E1341E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jc w:val="center"/>
      <w:rPr>
        <w:rFonts w:ascii="Book Antiqua" w:hAnsi="Book Antiqua"/>
        <w:sz w:val="28"/>
        <w:szCs w:val="28"/>
        <w:u w:val="none"/>
      </w:rPr>
    </w:pPr>
    <w:r w:rsidRPr="00E1341E">
      <w:rPr>
        <w:rFonts w:ascii="Book Antiqua" w:hAnsi="Book Antiqua"/>
        <w:sz w:val="28"/>
        <w:szCs w:val="28"/>
        <w:u w:val="none"/>
      </w:rPr>
      <w:t>CNPJ Nº 76.235.746/0001-46</w:t>
    </w:r>
  </w:p>
  <w:p w14:paraId="742794EF" w14:textId="77777777" w:rsidR="00ED5D12" w:rsidRDefault="00B14052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2D8982F8" w14:textId="77777777" w:rsidR="00ED5D12" w:rsidRPr="001F04F2" w:rsidRDefault="00B14052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AAAE4" w14:textId="77777777" w:rsidR="00750654" w:rsidRDefault="00B14052">
    <w:pPr>
      <w:pStyle w:val="Cabealho"/>
    </w:pPr>
    <w:r>
      <w:rPr>
        <w:noProof/>
        <w:lang w:eastAsia="pt-BR"/>
      </w:rPr>
      <w:pict w14:anchorId="49CE61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49" type="#_x0000_t75" style="position:absolute;left:0;text-align:left;margin-left:0;margin-top:0;width:61.75pt;height:84.35pt;z-index:-25165977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3D"/>
    <w:rsid w:val="0000607E"/>
    <w:rsid w:val="000D4687"/>
    <w:rsid w:val="00132EC5"/>
    <w:rsid w:val="001C3C95"/>
    <w:rsid w:val="00281F98"/>
    <w:rsid w:val="006D36A0"/>
    <w:rsid w:val="008241C2"/>
    <w:rsid w:val="00830547"/>
    <w:rsid w:val="00B14052"/>
    <w:rsid w:val="00B46C3D"/>
    <w:rsid w:val="00CA5D95"/>
    <w:rsid w:val="00E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DE0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C3D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46C3D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46C3D"/>
  </w:style>
  <w:style w:type="paragraph" w:styleId="Legenda">
    <w:name w:val="caption"/>
    <w:basedOn w:val="Normal"/>
    <w:next w:val="Normal"/>
    <w:unhideWhenUsed/>
    <w:qFormat/>
    <w:rsid w:val="00B46C3D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6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C3D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B46C3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46C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B46C3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C3D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46C3D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46C3D"/>
  </w:style>
  <w:style w:type="paragraph" w:styleId="Legenda">
    <w:name w:val="caption"/>
    <w:basedOn w:val="Normal"/>
    <w:next w:val="Normal"/>
    <w:unhideWhenUsed/>
    <w:qFormat/>
    <w:rsid w:val="00B46C3D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6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C3D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B46C3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46C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B46C3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1694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5</cp:revision>
  <dcterms:created xsi:type="dcterms:W3CDTF">2023-10-11T19:18:00Z</dcterms:created>
  <dcterms:modified xsi:type="dcterms:W3CDTF">2023-12-28T19:57:00Z</dcterms:modified>
</cp:coreProperties>
</file>