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5F8787" w14:textId="1E3CAE35" w:rsidR="00EE3C7A" w:rsidRPr="00F924B1" w:rsidRDefault="00AE16A2" w:rsidP="00C020D5">
      <w:pPr>
        <w:spacing w:after="80" w:line="360" w:lineRule="auto"/>
        <w:ind w:firstLine="2552"/>
        <w:rPr>
          <w:rFonts w:eastAsia="Times New Roman" w:cs="Arial"/>
          <w:b/>
          <w:bCs/>
          <w:szCs w:val="24"/>
          <w:lang w:eastAsia="pt-BR"/>
        </w:rPr>
      </w:pPr>
      <w:r>
        <w:rPr>
          <w:rFonts w:eastAsia="Times New Roman" w:cs="Arial"/>
          <w:b/>
          <w:bCs/>
          <w:szCs w:val="24"/>
          <w:u w:val="single"/>
          <w:lang w:eastAsia="pt-BR"/>
        </w:rPr>
        <w:t>DECRETO Nº 80</w:t>
      </w:r>
      <w:r w:rsidR="00EE3C7A" w:rsidRPr="00F924B1">
        <w:rPr>
          <w:rFonts w:eastAsia="Times New Roman" w:cs="Arial"/>
          <w:b/>
          <w:bCs/>
          <w:szCs w:val="24"/>
          <w:u w:val="single"/>
          <w:lang w:eastAsia="pt-BR"/>
        </w:rPr>
        <w:t xml:space="preserve">, </w:t>
      </w:r>
      <w:r>
        <w:rPr>
          <w:rFonts w:eastAsia="Times New Roman" w:cs="Arial"/>
          <w:b/>
          <w:bCs/>
          <w:szCs w:val="24"/>
          <w:u w:val="single"/>
          <w:lang w:eastAsia="pt-BR"/>
        </w:rPr>
        <w:t xml:space="preserve">28 DE DEZEMBRO </w:t>
      </w:r>
      <w:r w:rsidR="00EE3C7A" w:rsidRPr="00F924B1">
        <w:rPr>
          <w:rFonts w:eastAsia="Times New Roman" w:cs="Arial"/>
          <w:b/>
          <w:bCs/>
          <w:szCs w:val="24"/>
          <w:u w:val="single"/>
          <w:lang w:eastAsia="pt-BR"/>
        </w:rPr>
        <w:t>DE 2023</w:t>
      </w:r>
      <w:r w:rsidR="00EE3C7A" w:rsidRPr="00F924B1">
        <w:rPr>
          <w:rFonts w:eastAsia="Times New Roman" w:cs="Arial"/>
          <w:szCs w:val="24"/>
          <w:lang w:eastAsia="pt-BR"/>
        </w:rPr>
        <w:t>.</w:t>
      </w:r>
    </w:p>
    <w:p w14:paraId="7DDF14DD" w14:textId="77777777" w:rsidR="00EE3C7A" w:rsidRPr="00F924B1" w:rsidRDefault="00EE3C7A" w:rsidP="00C020D5">
      <w:pPr>
        <w:spacing w:after="80" w:line="360" w:lineRule="auto"/>
        <w:jc w:val="center"/>
        <w:rPr>
          <w:rFonts w:eastAsia="Times New Roman" w:cs="Arial"/>
          <w:szCs w:val="24"/>
          <w:lang w:eastAsia="pt-BR"/>
        </w:rPr>
      </w:pPr>
    </w:p>
    <w:p w14:paraId="723065C8" w14:textId="42BF3DA3" w:rsidR="00EE3C7A" w:rsidRPr="00F924B1" w:rsidRDefault="00EE3C7A" w:rsidP="00C020D5">
      <w:pPr>
        <w:spacing w:after="80" w:line="360" w:lineRule="auto"/>
        <w:ind w:left="2552"/>
        <w:rPr>
          <w:rFonts w:eastAsia="Times New Roman" w:cs="Arial"/>
          <w:szCs w:val="24"/>
          <w:lang w:eastAsia="pt-BR"/>
        </w:rPr>
      </w:pPr>
      <w:r w:rsidRPr="00F924B1">
        <w:rPr>
          <w:rFonts w:eastAsia="Times New Roman" w:cs="Arial"/>
          <w:b/>
          <w:bCs/>
          <w:szCs w:val="24"/>
          <w:u w:val="single"/>
          <w:lang w:eastAsia="pt-BR"/>
        </w:rPr>
        <w:t>SÚMULA</w:t>
      </w:r>
      <w:r w:rsidRPr="00F924B1">
        <w:rPr>
          <w:rFonts w:eastAsia="Times New Roman" w:cs="Arial"/>
          <w:szCs w:val="24"/>
          <w:lang w:eastAsia="pt-BR"/>
        </w:rPr>
        <w:t>: dispõe sobre o enquadramento dos bens comuns e de luxo no âmbito do Poder Executivo Municipal.</w:t>
      </w:r>
    </w:p>
    <w:p w14:paraId="45BDA177" w14:textId="77777777" w:rsidR="00EE3C7A" w:rsidRPr="00F924B1" w:rsidRDefault="00EE3C7A" w:rsidP="00C020D5">
      <w:pPr>
        <w:spacing w:after="80" w:line="360" w:lineRule="auto"/>
        <w:ind w:firstLine="1134"/>
        <w:rPr>
          <w:rFonts w:cs="Arial"/>
          <w:szCs w:val="24"/>
        </w:rPr>
      </w:pPr>
    </w:p>
    <w:p w14:paraId="7A105DDA" w14:textId="77777777" w:rsidR="00EE3C7A" w:rsidRPr="00F924B1" w:rsidRDefault="00EE3C7A" w:rsidP="00C020D5">
      <w:pPr>
        <w:spacing w:after="80" w:line="360" w:lineRule="auto"/>
        <w:ind w:firstLine="1134"/>
        <w:rPr>
          <w:rFonts w:eastAsia="Times New Roman" w:cs="Arial"/>
          <w:szCs w:val="24"/>
          <w:lang w:eastAsia="pt-BR"/>
        </w:rPr>
      </w:pPr>
      <w:r w:rsidRPr="00F924B1">
        <w:rPr>
          <w:rFonts w:cs="Arial"/>
          <w:szCs w:val="24"/>
        </w:rPr>
        <w:t xml:space="preserve">O Prefeito Municipal de Santa Amélia, Estado do Paraná, </w:t>
      </w:r>
      <w:r w:rsidRPr="00F924B1">
        <w:rPr>
          <w:rFonts w:cs="Arial"/>
          <w:b/>
          <w:bCs/>
          <w:szCs w:val="24"/>
        </w:rPr>
        <w:t>ANTÔNIO CARLOS TAMAIS</w:t>
      </w:r>
      <w:r w:rsidRPr="00F924B1">
        <w:rPr>
          <w:rFonts w:cs="Arial"/>
          <w:szCs w:val="24"/>
        </w:rPr>
        <w:t xml:space="preserve">, no uso de suas atribuições legais e em conformidade com as disposições do art. 62, VI, da Lei Orgânica do Município – LOM de Santa Amélia/PR, e do § 1º do art. 20 da </w:t>
      </w:r>
      <w:r w:rsidRPr="00F924B1">
        <w:rPr>
          <w:rFonts w:eastAsia="Times New Roman" w:cs="Arial"/>
          <w:szCs w:val="24"/>
          <w:lang w:eastAsia="pt-BR"/>
        </w:rPr>
        <w:t xml:space="preserve">lei federal nº 14.133/2021, </w:t>
      </w:r>
      <w:r w:rsidRPr="00F924B1">
        <w:rPr>
          <w:rFonts w:cs="Arial"/>
          <w:szCs w:val="24"/>
        </w:rPr>
        <w:t>de Licitações de Contratos Adm</w:t>
      </w:r>
      <w:r w:rsidRPr="00F924B1">
        <w:rPr>
          <w:rFonts w:cs="Arial"/>
          <w:szCs w:val="24"/>
        </w:rPr>
        <w:t>i</w:t>
      </w:r>
      <w:r w:rsidRPr="00F924B1">
        <w:rPr>
          <w:rFonts w:cs="Arial"/>
          <w:szCs w:val="24"/>
        </w:rPr>
        <w:t xml:space="preserve">nistrativos, </w:t>
      </w:r>
      <w:r w:rsidRPr="00F924B1">
        <w:rPr>
          <w:rFonts w:eastAsia="Times New Roman" w:cs="Arial"/>
          <w:b/>
          <w:bCs/>
          <w:szCs w:val="24"/>
          <w:lang w:eastAsia="pt-BR"/>
        </w:rPr>
        <w:t>D E C R E T A</w:t>
      </w:r>
      <w:r w:rsidRPr="00F924B1">
        <w:rPr>
          <w:rFonts w:eastAsia="Times New Roman" w:cs="Arial"/>
          <w:szCs w:val="24"/>
          <w:lang w:eastAsia="pt-BR"/>
        </w:rPr>
        <w:t>:</w:t>
      </w:r>
    </w:p>
    <w:p w14:paraId="0DF0DD53" w14:textId="77777777" w:rsidR="00EE3C7A" w:rsidRPr="00F924B1" w:rsidRDefault="00EE3C7A" w:rsidP="00C020D5">
      <w:pPr>
        <w:spacing w:after="80" w:line="360" w:lineRule="auto"/>
        <w:ind w:firstLine="1134"/>
        <w:rPr>
          <w:rFonts w:eastAsia="Times New Roman" w:cs="Arial"/>
          <w:szCs w:val="24"/>
          <w:lang w:eastAsia="pt-BR"/>
        </w:rPr>
      </w:pPr>
    </w:p>
    <w:p w14:paraId="3637AEB2" w14:textId="54EE6D4A" w:rsidR="00225AA4" w:rsidRDefault="00EE3C7A" w:rsidP="00C020D5">
      <w:pPr>
        <w:spacing w:after="80" w:line="360" w:lineRule="auto"/>
        <w:rPr>
          <w:rFonts w:cs="Arial"/>
          <w:szCs w:val="24"/>
        </w:rPr>
      </w:pPr>
      <w:r w:rsidRPr="00F924B1">
        <w:rPr>
          <w:rFonts w:cs="Arial"/>
          <w:b/>
          <w:bCs/>
          <w:szCs w:val="24"/>
        </w:rPr>
        <w:t>Art. 1</w:t>
      </w:r>
      <w:r w:rsidRPr="00F924B1">
        <w:rPr>
          <w:rFonts w:cs="Arial"/>
          <w:szCs w:val="24"/>
        </w:rPr>
        <w:t>º Este decreto dispõe sobre o enquadramento de bens nas categorias comum e de luxo, no âmbito dos órgãos e das entidades da Administração Pública do Poder Executivo Municipal, nos termos do § 1º do art. 20 da lei federal nº 14.133/2021.</w:t>
      </w:r>
    </w:p>
    <w:p w14:paraId="6A57E38A" w14:textId="77777777" w:rsidR="00870EB3" w:rsidRPr="00F924B1" w:rsidRDefault="00225AA4" w:rsidP="00C020D5">
      <w:pPr>
        <w:spacing w:after="80" w:line="360" w:lineRule="auto"/>
        <w:rPr>
          <w:rFonts w:cs="Arial"/>
          <w:szCs w:val="24"/>
        </w:rPr>
      </w:pPr>
      <w:r w:rsidRPr="00F924B1">
        <w:rPr>
          <w:rFonts w:cs="Arial"/>
          <w:b/>
          <w:bCs/>
          <w:szCs w:val="24"/>
        </w:rPr>
        <w:t>Art. 2</w:t>
      </w:r>
      <w:r w:rsidRPr="00F924B1">
        <w:rPr>
          <w:rFonts w:cs="Arial"/>
          <w:szCs w:val="24"/>
        </w:rPr>
        <w:t>º P</w:t>
      </w:r>
      <w:r w:rsidRPr="00F924B1">
        <w:rPr>
          <w:rFonts w:cs="Arial"/>
          <w:szCs w:val="24"/>
          <w:shd w:val="clear" w:color="auto" w:fill="FFFFFF"/>
        </w:rPr>
        <w:t>ara fins do disposto neste Decreto, considera-se:</w:t>
      </w:r>
    </w:p>
    <w:p w14:paraId="2924F19E" w14:textId="1EE53E3B" w:rsidR="00870EB3" w:rsidRPr="00F924B1" w:rsidRDefault="00225AA4" w:rsidP="00C020D5">
      <w:pPr>
        <w:spacing w:after="80" w:line="360" w:lineRule="auto"/>
        <w:rPr>
          <w:rFonts w:cs="Arial"/>
          <w:szCs w:val="24"/>
        </w:rPr>
      </w:pPr>
      <w:r w:rsidRPr="00F924B1">
        <w:rPr>
          <w:rFonts w:cs="Arial"/>
          <w:szCs w:val="24"/>
          <w:shd w:val="clear" w:color="auto" w:fill="FFFFFF"/>
        </w:rPr>
        <w:t xml:space="preserve">I - bem de luxo: os qualificáveis em virtude da sua excepcionalidade, de </w:t>
      </w:r>
      <w:proofErr w:type="gramStart"/>
      <w:r w:rsidRPr="00F924B1">
        <w:rPr>
          <w:rFonts w:cs="Arial"/>
          <w:szCs w:val="24"/>
          <w:shd w:val="clear" w:color="auto" w:fill="FFFFFF"/>
        </w:rPr>
        <w:t>atributos</w:t>
      </w:r>
      <w:proofErr w:type="gramEnd"/>
      <w:r w:rsidRPr="00F924B1">
        <w:rPr>
          <w:rFonts w:cs="Arial"/>
          <w:szCs w:val="24"/>
          <w:shd w:val="clear" w:color="auto" w:fill="FFFFFF"/>
        </w:rPr>
        <w:t xml:space="preserve"> </w:t>
      </w:r>
      <w:proofErr w:type="gramStart"/>
      <w:r w:rsidRPr="00F924B1">
        <w:rPr>
          <w:rFonts w:cs="Arial"/>
          <w:szCs w:val="24"/>
          <w:shd w:val="clear" w:color="auto" w:fill="FFFFFF"/>
        </w:rPr>
        <w:t>diferenciados</w:t>
      </w:r>
      <w:proofErr w:type="gramEnd"/>
      <w:r w:rsidR="00870EB3" w:rsidRPr="00F924B1">
        <w:rPr>
          <w:rFonts w:cs="Arial"/>
          <w:szCs w:val="24"/>
          <w:shd w:val="clear" w:color="auto" w:fill="FFFFFF"/>
        </w:rPr>
        <w:t xml:space="preserve"> </w:t>
      </w:r>
      <w:r w:rsidRPr="00F924B1">
        <w:rPr>
          <w:rFonts w:cs="Arial"/>
          <w:szCs w:val="24"/>
          <w:shd w:val="clear" w:color="auto" w:fill="FFFFFF"/>
        </w:rPr>
        <w:t>que não são essenciais para a satisfação de necessidades e que são comercializados por valores</w:t>
      </w:r>
      <w:r w:rsidR="00870EB3" w:rsidRPr="00F924B1">
        <w:rPr>
          <w:rFonts w:cs="Arial"/>
          <w:szCs w:val="24"/>
          <w:shd w:val="clear" w:color="auto" w:fill="FFFFFF"/>
        </w:rPr>
        <w:t xml:space="preserve"> </w:t>
      </w:r>
      <w:r w:rsidRPr="00F924B1">
        <w:rPr>
          <w:rFonts w:cs="Arial"/>
          <w:szCs w:val="24"/>
          <w:shd w:val="clear" w:color="auto" w:fill="FFFFFF"/>
        </w:rPr>
        <w:t>vultosos, identificável por meio de características tais como:</w:t>
      </w:r>
    </w:p>
    <w:p w14:paraId="6010066F" w14:textId="77777777" w:rsidR="00870EB3" w:rsidRPr="00F924B1" w:rsidRDefault="00225AA4" w:rsidP="00C020D5">
      <w:pPr>
        <w:spacing w:after="80" w:line="360" w:lineRule="auto"/>
        <w:rPr>
          <w:rFonts w:cs="Arial"/>
          <w:szCs w:val="24"/>
        </w:rPr>
      </w:pPr>
      <w:r w:rsidRPr="00F924B1">
        <w:rPr>
          <w:rFonts w:cs="Arial"/>
          <w:szCs w:val="24"/>
          <w:shd w:val="clear" w:color="auto" w:fill="FFFFFF"/>
        </w:rPr>
        <w:t>a) ostentação;</w:t>
      </w:r>
    </w:p>
    <w:p w14:paraId="2AEA2657" w14:textId="77777777" w:rsidR="00870EB3" w:rsidRPr="00F924B1" w:rsidRDefault="00225AA4" w:rsidP="00C020D5">
      <w:pPr>
        <w:spacing w:after="80" w:line="360" w:lineRule="auto"/>
        <w:rPr>
          <w:rFonts w:cs="Arial"/>
          <w:szCs w:val="24"/>
        </w:rPr>
      </w:pPr>
      <w:r w:rsidRPr="00F924B1">
        <w:rPr>
          <w:rFonts w:cs="Arial"/>
          <w:szCs w:val="24"/>
          <w:shd w:val="clear" w:color="auto" w:fill="FFFFFF"/>
        </w:rPr>
        <w:t>b) opulência;</w:t>
      </w:r>
    </w:p>
    <w:p w14:paraId="4C9412E6" w14:textId="77777777" w:rsidR="00870EB3" w:rsidRPr="00F924B1" w:rsidRDefault="00225AA4" w:rsidP="00C020D5">
      <w:pPr>
        <w:spacing w:after="80" w:line="360" w:lineRule="auto"/>
        <w:rPr>
          <w:rFonts w:cs="Arial"/>
          <w:szCs w:val="24"/>
        </w:rPr>
      </w:pPr>
      <w:r w:rsidRPr="00F924B1">
        <w:rPr>
          <w:rFonts w:cs="Arial"/>
          <w:szCs w:val="24"/>
          <w:shd w:val="clear" w:color="auto" w:fill="FFFFFF"/>
        </w:rPr>
        <w:t>c) forte apelo estético; ou</w:t>
      </w:r>
    </w:p>
    <w:p w14:paraId="25C38749" w14:textId="77777777" w:rsidR="00870EB3" w:rsidRPr="00F924B1" w:rsidRDefault="00225AA4" w:rsidP="00C020D5">
      <w:pPr>
        <w:spacing w:after="80" w:line="360" w:lineRule="auto"/>
        <w:rPr>
          <w:rFonts w:cs="Arial"/>
          <w:szCs w:val="24"/>
        </w:rPr>
      </w:pPr>
      <w:r w:rsidRPr="00F924B1">
        <w:rPr>
          <w:rFonts w:cs="Arial"/>
          <w:szCs w:val="24"/>
          <w:shd w:val="clear" w:color="auto" w:fill="FFFFFF"/>
        </w:rPr>
        <w:t>d) requinte;</w:t>
      </w:r>
    </w:p>
    <w:p w14:paraId="1F516AC4" w14:textId="1F00C0B2" w:rsidR="00870EB3" w:rsidRPr="00F924B1" w:rsidRDefault="00225AA4" w:rsidP="00C020D5">
      <w:pPr>
        <w:spacing w:after="80" w:line="360" w:lineRule="auto"/>
        <w:rPr>
          <w:rFonts w:cs="Arial"/>
          <w:szCs w:val="24"/>
          <w:shd w:val="clear" w:color="auto" w:fill="FFFFFF"/>
        </w:rPr>
      </w:pPr>
      <w:r w:rsidRPr="00F924B1">
        <w:rPr>
          <w:rFonts w:cs="Arial"/>
          <w:szCs w:val="24"/>
          <w:shd w:val="clear" w:color="auto" w:fill="FFFFFF"/>
        </w:rPr>
        <w:t xml:space="preserve">II </w:t>
      </w:r>
      <w:r w:rsidR="00870EB3" w:rsidRPr="00F924B1">
        <w:rPr>
          <w:rFonts w:cs="Arial"/>
          <w:szCs w:val="24"/>
          <w:shd w:val="clear" w:color="auto" w:fill="FFFFFF"/>
        </w:rPr>
        <w:t>–</w:t>
      </w:r>
      <w:r w:rsidRPr="00F924B1">
        <w:rPr>
          <w:rFonts w:cs="Arial"/>
          <w:szCs w:val="24"/>
          <w:shd w:val="clear" w:color="auto" w:fill="FFFFFF"/>
        </w:rPr>
        <w:t xml:space="preserve"> bem de qualidade comum: bem de consumo disponível no mercado que não apresente variações significativas de qualidade superiores às necessárias para cumprir as finalidades às quais se destinam;</w:t>
      </w:r>
    </w:p>
    <w:p w14:paraId="28675E55" w14:textId="77777777" w:rsidR="00870EB3" w:rsidRPr="00F924B1" w:rsidRDefault="00225AA4" w:rsidP="00C020D5">
      <w:pPr>
        <w:spacing w:after="80" w:line="360" w:lineRule="auto"/>
        <w:rPr>
          <w:rFonts w:cs="Arial"/>
          <w:szCs w:val="24"/>
        </w:rPr>
      </w:pPr>
      <w:r w:rsidRPr="00F924B1">
        <w:rPr>
          <w:rFonts w:cs="Arial"/>
          <w:szCs w:val="24"/>
          <w:shd w:val="clear" w:color="auto" w:fill="FFFFFF"/>
        </w:rPr>
        <w:lastRenderedPageBreak/>
        <w:t xml:space="preserve">III </w:t>
      </w:r>
      <w:r w:rsidR="00870EB3" w:rsidRPr="00F924B1">
        <w:rPr>
          <w:rFonts w:cs="Arial"/>
          <w:szCs w:val="24"/>
          <w:shd w:val="clear" w:color="auto" w:fill="FFFFFF"/>
        </w:rPr>
        <w:t xml:space="preserve">– </w:t>
      </w:r>
      <w:r w:rsidRPr="00F924B1">
        <w:rPr>
          <w:rFonts w:cs="Arial"/>
          <w:szCs w:val="24"/>
          <w:shd w:val="clear" w:color="auto" w:fill="FFFFFF"/>
        </w:rPr>
        <w:t>bem de consumo: todo material que atenda a, no mínimo, 1 (um) dos seguintes critérios:</w:t>
      </w:r>
    </w:p>
    <w:p w14:paraId="19C85BD1" w14:textId="77777777" w:rsidR="00870EB3" w:rsidRPr="00F924B1" w:rsidRDefault="00225AA4" w:rsidP="00C020D5">
      <w:pPr>
        <w:spacing w:after="80" w:line="360" w:lineRule="auto"/>
        <w:rPr>
          <w:rFonts w:cs="Arial"/>
          <w:szCs w:val="24"/>
        </w:rPr>
      </w:pPr>
      <w:r w:rsidRPr="00F924B1">
        <w:rPr>
          <w:rFonts w:cs="Arial"/>
          <w:szCs w:val="24"/>
          <w:shd w:val="clear" w:color="auto" w:fill="FFFFFF"/>
        </w:rPr>
        <w:t>a) durabilidade: em uso normal, perde ou reduz as suas condições de uso, no prazo de 2 (dois) anos;</w:t>
      </w:r>
    </w:p>
    <w:p w14:paraId="1021DDEF" w14:textId="77777777" w:rsidR="00870EB3" w:rsidRPr="00F924B1" w:rsidRDefault="00225AA4" w:rsidP="00C020D5">
      <w:pPr>
        <w:spacing w:after="80" w:line="360" w:lineRule="auto"/>
        <w:rPr>
          <w:rFonts w:cs="Arial"/>
          <w:szCs w:val="24"/>
        </w:rPr>
      </w:pPr>
      <w:r w:rsidRPr="00F924B1">
        <w:rPr>
          <w:rFonts w:cs="Arial"/>
          <w:szCs w:val="24"/>
          <w:shd w:val="clear" w:color="auto" w:fill="FFFFFF"/>
        </w:rPr>
        <w:t>b) fragilidade: facilmente quebradiço ou deformável, de modo irrecuperável ou com perda de sua identidade;</w:t>
      </w:r>
    </w:p>
    <w:p w14:paraId="0009884C" w14:textId="77777777" w:rsidR="00870EB3" w:rsidRPr="00F924B1" w:rsidRDefault="00225AA4" w:rsidP="00C020D5">
      <w:pPr>
        <w:spacing w:after="80" w:line="360" w:lineRule="auto"/>
        <w:rPr>
          <w:rFonts w:cs="Arial"/>
          <w:szCs w:val="24"/>
        </w:rPr>
      </w:pPr>
      <w:r w:rsidRPr="00F924B1">
        <w:rPr>
          <w:rFonts w:cs="Arial"/>
          <w:szCs w:val="24"/>
          <w:shd w:val="clear" w:color="auto" w:fill="FFFFFF"/>
        </w:rPr>
        <w:t>c) perecibilidade: sujeito a modificações químicas ou físicas que levam à deterior</w:t>
      </w:r>
      <w:r w:rsidRPr="00F924B1">
        <w:rPr>
          <w:rFonts w:cs="Arial"/>
          <w:szCs w:val="24"/>
          <w:shd w:val="clear" w:color="auto" w:fill="FFFFFF"/>
        </w:rPr>
        <w:t>a</w:t>
      </w:r>
      <w:r w:rsidRPr="00F924B1">
        <w:rPr>
          <w:rFonts w:cs="Arial"/>
          <w:szCs w:val="24"/>
          <w:shd w:val="clear" w:color="auto" w:fill="FFFFFF"/>
        </w:rPr>
        <w:t>ção ou à perda de suas condições de uso com o decorrer do tempo;</w:t>
      </w:r>
    </w:p>
    <w:p w14:paraId="3DC5780B" w14:textId="77777777" w:rsidR="00870EB3" w:rsidRPr="00F924B1" w:rsidRDefault="00225AA4" w:rsidP="00C020D5">
      <w:pPr>
        <w:spacing w:after="80" w:line="360" w:lineRule="auto"/>
        <w:rPr>
          <w:rFonts w:cs="Arial"/>
          <w:szCs w:val="24"/>
        </w:rPr>
      </w:pPr>
      <w:r w:rsidRPr="00F924B1">
        <w:rPr>
          <w:rFonts w:cs="Arial"/>
          <w:szCs w:val="24"/>
          <w:shd w:val="clear" w:color="auto" w:fill="FFFFFF"/>
        </w:rPr>
        <w:t xml:space="preserve">d) </w:t>
      </w:r>
      <w:proofErr w:type="spellStart"/>
      <w:r w:rsidRPr="00F924B1">
        <w:rPr>
          <w:rFonts w:cs="Arial"/>
          <w:szCs w:val="24"/>
          <w:shd w:val="clear" w:color="auto" w:fill="FFFFFF"/>
        </w:rPr>
        <w:t>incorporabilidade</w:t>
      </w:r>
      <w:proofErr w:type="spellEnd"/>
      <w:r w:rsidRPr="00F924B1">
        <w:rPr>
          <w:rFonts w:cs="Arial"/>
          <w:szCs w:val="24"/>
          <w:shd w:val="clear" w:color="auto" w:fill="FFFFFF"/>
        </w:rPr>
        <w:t>: destinado à incorporação em outro bem, ainda que suas cara</w:t>
      </w:r>
      <w:r w:rsidRPr="00F924B1">
        <w:rPr>
          <w:rFonts w:cs="Arial"/>
          <w:szCs w:val="24"/>
          <w:shd w:val="clear" w:color="auto" w:fill="FFFFFF"/>
        </w:rPr>
        <w:t>c</w:t>
      </w:r>
      <w:r w:rsidRPr="00F924B1">
        <w:rPr>
          <w:rFonts w:cs="Arial"/>
          <w:szCs w:val="24"/>
          <w:shd w:val="clear" w:color="auto" w:fill="FFFFFF"/>
        </w:rPr>
        <w:t>terísticas originais sejam alteradas, de modo que sua retirada acarrete prejuízo à essência do bem principal; ou</w:t>
      </w:r>
    </w:p>
    <w:p w14:paraId="0EB46EC4" w14:textId="7FD62098" w:rsidR="00870EB3" w:rsidRDefault="00225AA4" w:rsidP="00C020D5">
      <w:pPr>
        <w:spacing w:after="80" w:line="360" w:lineRule="auto"/>
        <w:rPr>
          <w:rFonts w:cs="Arial"/>
          <w:szCs w:val="24"/>
          <w:shd w:val="clear" w:color="auto" w:fill="FFFFFF"/>
        </w:rPr>
      </w:pPr>
      <w:r w:rsidRPr="00F924B1">
        <w:rPr>
          <w:rFonts w:cs="Arial"/>
          <w:szCs w:val="24"/>
          <w:shd w:val="clear" w:color="auto" w:fill="FFFFFF"/>
        </w:rPr>
        <w:t xml:space="preserve">e) </w:t>
      </w:r>
      <w:proofErr w:type="spellStart"/>
      <w:r w:rsidRPr="00F924B1">
        <w:rPr>
          <w:rFonts w:cs="Arial"/>
          <w:szCs w:val="24"/>
          <w:shd w:val="clear" w:color="auto" w:fill="FFFFFF"/>
        </w:rPr>
        <w:t>transformabilidade</w:t>
      </w:r>
      <w:proofErr w:type="spellEnd"/>
      <w:r w:rsidRPr="00F924B1">
        <w:rPr>
          <w:rFonts w:cs="Arial"/>
          <w:szCs w:val="24"/>
          <w:shd w:val="clear" w:color="auto" w:fill="FFFFFF"/>
        </w:rPr>
        <w:t>: adquirido para fins de utilização como matéria-prima ou mat</w:t>
      </w:r>
      <w:r w:rsidRPr="00F924B1">
        <w:rPr>
          <w:rFonts w:cs="Arial"/>
          <w:szCs w:val="24"/>
          <w:shd w:val="clear" w:color="auto" w:fill="FFFFFF"/>
        </w:rPr>
        <w:t>é</w:t>
      </w:r>
      <w:r w:rsidRPr="00F924B1">
        <w:rPr>
          <w:rFonts w:cs="Arial"/>
          <w:szCs w:val="24"/>
          <w:shd w:val="clear" w:color="auto" w:fill="FFFFFF"/>
        </w:rPr>
        <w:t>ria intermediária para a geração de outro bem.</w:t>
      </w:r>
    </w:p>
    <w:p w14:paraId="54AD5BA8" w14:textId="77777777" w:rsidR="00F924B1" w:rsidRDefault="00F924B1" w:rsidP="00C020D5">
      <w:pPr>
        <w:spacing w:after="80" w:line="360" w:lineRule="auto"/>
        <w:rPr>
          <w:rFonts w:cs="Arial"/>
          <w:szCs w:val="24"/>
          <w:shd w:val="clear" w:color="auto" w:fill="FFFFFF"/>
        </w:rPr>
      </w:pPr>
    </w:p>
    <w:p w14:paraId="1226722D" w14:textId="77777777" w:rsidR="00870EB3" w:rsidRPr="00F924B1" w:rsidRDefault="00870EB3" w:rsidP="00C020D5">
      <w:pPr>
        <w:spacing w:after="80" w:line="360" w:lineRule="auto"/>
        <w:rPr>
          <w:rFonts w:cs="Arial"/>
          <w:szCs w:val="24"/>
        </w:rPr>
      </w:pPr>
      <w:r w:rsidRPr="00F924B1">
        <w:rPr>
          <w:rFonts w:cs="Arial"/>
          <w:b/>
          <w:bCs/>
          <w:szCs w:val="24"/>
          <w:shd w:val="clear" w:color="auto" w:fill="FFFFFF"/>
        </w:rPr>
        <w:t>Art. 3</w:t>
      </w:r>
      <w:r w:rsidRPr="00F924B1">
        <w:rPr>
          <w:rFonts w:cs="Arial"/>
          <w:szCs w:val="24"/>
          <w:shd w:val="clear" w:color="auto" w:fill="FFFFFF"/>
        </w:rPr>
        <w:t xml:space="preserve">º </w:t>
      </w:r>
      <w:r w:rsidR="00225AA4" w:rsidRPr="00F924B1">
        <w:rPr>
          <w:rFonts w:cs="Arial"/>
          <w:szCs w:val="24"/>
          <w:shd w:val="clear" w:color="auto" w:fill="FFFFFF"/>
        </w:rPr>
        <w:t xml:space="preserve">O </w:t>
      </w:r>
      <w:r w:rsidRPr="00F924B1">
        <w:rPr>
          <w:rFonts w:cs="Arial"/>
          <w:szCs w:val="24"/>
          <w:shd w:val="clear" w:color="auto" w:fill="FFFFFF"/>
        </w:rPr>
        <w:t xml:space="preserve">órgão ou </w:t>
      </w:r>
      <w:r w:rsidR="00225AA4" w:rsidRPr="00F924B1">
        <w:rPr>
          <w:rFonts w:cs="Arial"/>
          <w:szCs w:val="24"/>
          <w:shd w:val="clear" w:color="auto" w:fill="FFFFFF"/>
        </w:rPr>
        <w:t>ente público considerará no enquadramento do bem como de luxo, conforme conceituado no inc</w:t>
      </w:r>
      <w:r w:rsidRPr="00F924B1">
        <w:rPr>
          <w:rFonts w:cs="Arial"/>
          <w:szCs w:val="24"/>
          <w:shd w:val="clear" w:color="auto" w:fill="FFFFFF"/>
        </w:rPr>
        <w:t>iso</w:t>
      </w:r>
      <w:r w:rsidR="00225AA4" w:rsidRPr="00F924B1">
        <w:rPr>
          <w:rFonts w:cs="Arial"/>
          <w:szCs w:val="24"/>
          <w:shd w:val="clear" w:color="auto" w:fill="FFFFFF"/>
        </w:rPr>
        <w:t xml:space="preserve"> I do </w:t>
      </w:r>
      <w:r w:rsidRPr="00F924B1">
        <w:rPr>
          <w:rFonts w:cs="Arial"/>
          <w:szCs w:val="24"/>
          <w:shd w:val="clear" w:color="auto" w:fill="FFFFFF"/>
        </w:rPr>
        <w:t>“</w:t>
      </w:r>
      <w:r w:rsidR="00225AA4" w:rsidRPr="00F924B1">
        <w:rPr>
          <w:rFonts w:cs="Arial"/>
          <w:i/>
          <w:iCs/>
          <w:szCs w:val="24"/>
          <w:shd w:val="clear" w:color="auto" w:fill="FFFFFF"/>
        </w:rPr>
        <w:t>caput</w:t>
      </w:r>
      <w:r w:rsidRPr="00F924B1">
        <w:rPr>
          <w:rFonts w:cs="Arial"/>
          <w:szCs w:val="24"/>
          <w:shd w:val="clear" w:color="auto" w:fill="FFFFFF"/>
        </w:rPr>
        <w:t>”</w:t>
      </w:r>
      <w:r w:rsidR="00225AA4" w:rsidRPr="00F924B1">
        <w:rPr>
          <w:rFonts w:cs="Arial"/>
          <w:szCs w:val="24"/>
          <w:shd w:val="clear" w:color="auto" w:fill="FFFFFF"/>
        </w:rPr>
        <w:t xml:space="preserve"> do art. 2º deste Decreto:</w:t>
      </w:r>
    </w:p>
    <w:p w14:paraId="13F3D35F" w14:textId="77777777" w:rsidR="00870EB3" w:rsidRPr="00F924B1" w:rsidRDefault="00225AA4" w:rsidP="00C020D5">
      <w:pPr>
        <w:spacing w:after="80" w:line="360" w:lineRule="auto"/>
        <w:rPr>
          <w:rFonts w:cs="Arial"/>
          <w:szCs w:val="24"/>
        </w:rPr>
      </w:pPr>
      <w:r w:rsidRPr="00F924B1">
        <w:rPr>
          <w:rFonts w:cs="Arial"/>
          <w:szCs w:val="24"/>
          <w:shd w:val="clear" w:color="auto" w:fill="FFFFFF"/>
        </w:rPr>
        <w:t xml:space="preserve">I - relatividade econômica: variáveis econômicas que incidem sobre o preço do bem, principalmente a facilidade ou a dificuldade logística regional ou local de acesso ao bem; </w:t>
      </w:r>
      <w:proofErr w:type="gramStart"/>
      <w:r w:rsidRPr="00F924B1">
        <w:rPr>
          <w:rFonts w:cs="Arial"/>
          <w:szCs w:val="24"/>
          <w:shd w:val="clear" w:color="auto" w:fill="FFFFFF"/>
        </w:rPr>
        <w:t>e</w:t>
      </w:r>
      <w:proofErr w:type="gramEnd"/>
    </w:p>
    <w:p w14:paraId="58187F05" w14:textId="77777777" w:rsidR="00870EB3" w:rsidRPr="00F924B1" w:rsidRDefault="00225AA4" w:rsidP="00C020D5">
      <w:pPr>
        <w:spacing w:after="80" w:line="360" w:lineRule="auto"/>
        <w:rPr>
          <w:rFonts w:cs="Arial"/>
          <w:szCs w:val="24"/>
        </w:rPr>
      </w:pPr>
      <w:r w:rsidRPr="00F924B1">
        <w:rPr>
          <w:rFonts w:cs="Arial"/>
          <w:szCs w:val="24"/>
          <w:shd w:val="clear" w:color="auto" w:fill="FFFFFF"/>
        </w:rPr>
        <w:t>II - relatividade temporal: mudança das variáveis mercadológicas do bem ao longo do tempo, em função de aspectos como:</w:t>
      </w:r>
    </w:p>
    <w:p w14:paraId="1A99450A" w14:textId="77777777" w:rsidR="00870EB3" w:rsidRPr="00F924B1" w:rsidRDefault="00225AA4" w:rsidP="00C020D5">
      <w:pPr>
        <w:spacing w:after="80" w:line="360" w:lineRule="auto"/>
        <w:rPr>
          <w:rFonts w:cs="Arial"/>
          <w:szCs w:val="24"/>
        </w:rPr>
      </w:pPr>
      <w:r w:rsidRPr="00F924B1">
        <w:rPr>
          <w:rFonts w:cs="Arial"/>
          <w:szCs w:val="24"/>
          <w:shd w:val="clear" w:color="auto" w:fill="FFFFFF"/>
        </w:rPr>
        <w:t>a) evolução tecnológica;</w:t>
      </w:r>
    </w:p>
    <w:p w14:paraId="225B08F5" w14:textId="77777777" w:rsidR="00870EB3" w:rsidRPr="00F924B1" w:rsidRDefault="00225AA4" w:rsidP="00C020D5">
      <w:pPr>
        <w:spacing w:after="80" w:line="360" w:lineRule="auto"/>
        <w:rPr>
          <w:rFonts w:cs="Arial"/>
          <w:szCs w:val="24"/>
        </w:rPr>
      </w:pPr>
      <w:r w:rsidRPr="00F924B1">
        <w:rPr>
          <w:rFonts w:cs="Arial"/>
          <w:szCs w:val="24"/>
          <w:shd w:val="clear" w:color="auto" w:fill="FFFFFF"/>
        </w:rPr>
        <w:t>b) tendências sociais;</w:t>
      </w:r>
    </w:p>
    <w:p w14:paraId="6FABAFDF" w14:textId="77777777" w:rsidR="00870EB3" w:rsidRPr="00F924B1" w:rsidRDefault="00225AA4" w:rsidP="00C020D5">
      <w:pPr>
        <w:spacing w:after="80" w:line="360" w:lineRule="auto"/>
        <w:rPr>
          <w:rFonts w:cs="Arial"/>
          <w:szCs w:val="24"/>
        </w:rPr>
      </w:pPr>
      <w:r w:rsidRPr="00F924B1">
        <w:rPr>
          <w:rFonts w:cs="Arial"/>
          <w:szCs w:val="24"/>
          <w:shd w:val="clear" w:color="auto" w:fill="FFFFFF"/>
        </w:rPr>
        <w:t>c) alterações de disponibilidade no mercado; e</w:t>
      </w:r>
    </w:p>
    <w:p w14:paraId="7B4D3CD5" w14:textId="6DF04384" w:rsidR="00870EB3" w:rsidRDefault="00225AA4" w:rsidP="00C020D5">
      <w:pPr>
        <w:spacing w:after="80" w:line="360" w:lineRule="auto"/>
        <w:rPr>
          <w:rFonts w:cs="Arial"/>
          <w:szCs w:val="24"/>
          <w:shd w:val="clear" w:color="auto" w:fill="FFFFFF"/>
        </w:rPr>
      </w:pPr>
      <w:r w:rsidRPr="00F924B1">
        <w:rPr>
          <w:rFonts w:cs="Arial"/>
          <w:szCs w:val="24"/>
          <w:shd w:val="clear" w:color="auto" w:fill="FFFFFF"/>
        </w:rPr>
        <w:t>d) modificações no processo de suprimento logístico.</w:t>
      </w:r>
    </w:p>
    <w:p w14:paraId="355B04DB" w14:textId="77777777" w:rsidR="00F924B1" w:rsidRPr="00F924B1" w:rsidRDefault="00F924B1" w:rsidP="00C020D5">
      <w:pPr>
        <w:spacing w:after="80" w:line="360" w:lineRule="auto"/>
        <w:rPr>
          <w:rFonts w:cs="Arial"/>
          <w:szCs w:val="24"/>
        </w:rPr>
      </w:pPr>
    </w:p>
    <w:p w14:paraId="00A31B90" w14:textId="453191EF" w:rsidR="00870EB3" w:rsidRPr="00F924B1" w:rsidRDefault="00870EB3" w:rsidP="00C020D5">
      <w:pPr>
        <w:spacing w:after="80" w:line="360" w:lineRule="auto"/>
        <w:rPr>
          <w:rFonts w:cs="Arial"/>
          <w:szCs w:val="24"/>
        </w:rPr>
      </w:pPr>
      <w:r w:rsidRPr="00F924B1">
        <w:rPr>
          <w:rFonts w:cs="Arial"/>
          <w:b/>
          <w:szCs w:val="24"/>
          <w:shd w:val="clear" w:color="auto" w:fill="FFFFFF"/>
        </w:rPr>
        <w:lastRenderedPageBreak/>
        <w:t>Art. 4º</w:t>
      </w:r>
      <w:r w:rsidRPr="00F924B1">
        <w:rPr>
          <w:rFonts w:cs="Arial"/>
          <w:szCs w:val="24"/>
          <w:shd w:val="clear" w:color="auto" w:fill="FFFFFF"/>
        </w:rPr>
        <w:t xml:space="preserve"> </w:t>
      </w:r>
      <w:r w:rsidR="00225AA4" w:rsidRPr="00F924B1">
        <w:rPr>
          <w:rFonts w:cs="Arial"/>
          <w:szCs w:val="24"/>
          <w:shd w:val="clear" w:color="auto" w:fill="FFFFFF"/>
        </w:rPr>
        <w:t>Não será enquadrado como bem de luxo aquele que, mesmo em conform</w:t>
      </w:r>
      <w:r w:rsidR="00225AA4" w:rsidRPr="00F924B1">
        <w:rPr>
          <w:rFonts w:cs="Arial"/>
          <w:szCs w:val="24"/>
          <w:shd w:val="clear" w:color="auto" w:fill="FFFFFF"/>
        </w:rPr>
        <w:t>i</w:t>
      </w:r>
      <w:r w:rsidR="00225AA4" w:rsidRPr="00F924B1">
        <w:rPr>
          <w:rFonts w:cs="Arial"/>
          <w:szCs w:val="24"/>
          <w:shd w:val="clear" w:color="auto" w:fill="FFFFFF"/>
        </w:rPr>
        <w:t>dade com a definição do inc</w:t>
      </w:r>
      <w:r w:rsidRPr="00F924B1">
        <w:rPr>
          <w:rFonts w:cs="Arial"/>
          <w:szCs w:val="24"/>
          <w:shd w:val="clear" w:color="auto" w:fill="FFFFFF"/>
        </w:rPr>
        <w:t>iso</w:t>
      </w:r>
      <w:r w:rsidR="00225AA4" w:rsidRPr="00F924B1">
        <w:rPr>
          <w:rFonts w:cs="Arial"/>
          <w:szCs w:val="24"/>
          <w:shd w:val="clear" w:color="auto" w:fill="FFFFFF"/>
        </w:rPr>
        <w:t xml:space="preserve"> I do caput do art. 2º deste Decreto:</w:t>
      </w:r>
    </w:p>
    <w:p w14:paraId="5F9A8950" w14:textId="77777777" w:rsidR="00870EB3" w:rsidRPr="00F924B1" w:rsidRDefault="00225AA4" w:rsidP="00C020D5">
      <w:pPr>
        <w:spacing w:after="80" w:line="360" w:lineRule="auto"/>
        <w:rPr>
          <w:rFonts w:cs="Arial"/>
          <w:szCs w:val="24"/>
        </w:rPr>
      </w:pPr>
      <w:r w:rsidRPr="00F924B1">
        <w:rPr>
          <w:rFonts w:cs="Arial"/>
          <w:szCs w:val="24"/>
          <w:shd w:val="clear" w:color="auto" w:fill="FFFFFF"/>
        </w:rPr>
        <w:t>I - for adquirido a preço equivalente ou inferior ao preço do bem de qualidade c</w:t>
      </w:r>
      <w:r w:rsidRPr="00F924B1">
        <w:rPr>
          <w:rFonts w:cs="Arial"/>
          <w:szCs w:val="24"/>
          <w:shd w:val="clear" w:color="auto" w:fill="FFFFFF"/>
        </w:rPr>
        <w:t>o</w:t>
      </w:r>
      <w:r w:rsidRPr="00F924B1">
        <w:rPr>
          <w:rFonts w:cs="Arial"/>
          <w:szCs w:val="24"/>
          <w:shd w:val="clear" w:color="auto" w:fill="FFFFFF"/>
        </w:rPr>
        <w:t xml:space="preserve">mum de mesma natureza; </w:t>
      </w:r>
      <w:proofErr w:type="gramStart"/>
      <w:r w:rsidRPr="00F924B1">
        <w:rPr>
          <w:rFonts w:cs="Arial"/>
          <w:szCs w:val="24"/>
          <w:shd w:val="clear" w:color="auto" w:fill="FFFFFF"/>
        </w:rPr>
        <w:t>ou</w:t>
      </w:r>
      <w:proofErr w:type="gramEnd"/>
    </w:p>
    <w:p w14:paraId="7FCA3507" w14:textId="19A2205D" w:rsidR="00870EB3" w:rsidRDefault="00225AA4" w:rsidP="00C020D5">
      <w:pPr>
        <w:spacing w:after="80" w:line="360" w:lineRule="auto"/>
        <w:rPr>
          <w:rFonts w:cs="Arial"/>
          <w:szCs w:val="24"/>
          <w:shd w:val="clear" w:color="auto" w:fill="FFFFFF"/>
        </w:rPr>
      </w:pPr>
      <w:r w:rsidRPr="00F924B1">
        <w:rPr>
          <w:rFonts w:cs="Arial"/>
          <w:szCs w:val="24"/>
          <w:shd w:val="clear" w:color="auto" w:fill="FFFFFF"/>
        </w:rPr>
        <w:t>II - tenha as características superiores justificadas em face da estrita atividade do órgão ou da entidade.</w:t>
      </w:r>
    </w:p>
    <w:p w14:paraId="7BC04B93" w14:textId="77777777" w:rsidR="00F924B1" w:rsidRDefault="00F924B1" w:rsidP="00C020D5">
      <w:pPr>
        <w:spacing w:after="80" w:line="360" w:lineRule="auto"/>
        <w:rPr>
          <w:rFonts w:cs="Arial"/>
          <w:szCs w:val="24"/>
          <w:shd w:val="clear" w:color="auto" w:fill="FFFFFF"/>
        </w:rPr>
      </w:pPr>
    </w:p>
    <w:p w14:paraId="1C9426BA" w14:textId="1B2044A9" w:rsidR="00870EB3" w:rsidRDefault="00870EB3" w:rsidP="00C020D5">
      <w:pPr>
        <w:spacing w:after="80" w:line="360" w:lineRule="auto"/>
        <w:rPr>
          <w:rFonts w:cs="Arial"/>
          <w:szCs w:val="24"/>
          <w:shd w:val="clear" w:color="auto" w:fill="FFFFFF"/>
        </w:rPr>
      </w:pPr>
      <w:r w:rsidRPr="00F924B1">
        <w:rPr>
          <w:rFonts w:cs="Arial"/>
          <w:b/>
          <w:bCs/>
          <w:szCs w:val="24"/>
          <w:shd w:val="clear" w:color="auto" w:fill="FFFFFF"/>
        </w:rPr>
        <w:t>Art. 5</w:t>
      </w:r>
      <w:r w:rsidRPr="00F924B1">
        <w:rPr>
          <w:rFonts w:cs="Arial"/>
          <w:szCs w:val="24"/>
          <w:shd w:val="clear" w:color="auto" w:fill="FFFFFF"/>
        </w:rPr>
        <w:t xml:space="preserve">º </w:t>
      </w:r>
      <w:r w:rsidR="00225AA4" w:rsidRPr="00F924B1">
        <w:rPr>
          <w:rFonts w:cs="Arial"/>
          <w:szCs w:val="24"/>
          <w:shd w:val="clear" w:color="auto" w:fill="FFFFFF"/>
        </w:rPr>
        <w:t>É vedada a aquisição de bens de consumo enquadrados como bens de luxo, nos termos do</w:t>
      </w:r>
      <w:r w:rsidRPr="00F924B1">
        <w:rPr>
          <w:rFonts w:cs="Arial"/>
          <w:szCs w:val="24"/>
          <w:shd w:val="clear" w:color="auto" w:fill="FFFFFF"/>
        </w:rPr>
        <w:t xml:space="preserve"> </w:t>
      </w:r>
      <w:r w:rsidR="00225AA4" w:rsidRPr="00F924B1">
        <w:rPr>
          <w:rFonts w:cs="Arial"/>
          <w:szCs w:val="24"/>
          <w:shd w:val="clear" w:color="auto" w:fill="FFFFFF"/>
        </w:rPr>
        <w:t>disposto neste Decreto.</w:t>
      </w:r>
    </w:p>
    <w:p w14:paraId="3FF6BD6B" w14:textId="77777777" w:rsidR="00F924B1" w:rsidRDefault="00F924B1" w:rsidP="00C020D5">
      <w:pPr>
        <w:spacing w:after="80" w:line="360" w:lineRule="auto"/>
        <w:rPr>
          <w:rFonts w:cs="Arial"/>
          <w:szCs w:val="24"/>
          <w:shd w:val="clear" w:color="auto" w:fill="FFFFFF"/>
        </w:rPr>
      </w:pPr>
    </w:p>
    <w:p w14:paraId="3FD0039A" w14:textId="57A877C5" w:rsidR="00870EB3" w:rsidRPr="00F924B1" w:rsidRDefault="00870EB3" w:rsidP="00C020D5">
      <w:pPr>
        <w:spacing w:after="80" w:line="360" w:lineRule="auto"/>
        <w:rPr>
          <w:rFonts w:cs="Arial"/>
          <w:szCs w:val="24"/>
        </w:rPr>
      </w:pPr>
      <w:r w:rsidRPr="00F924B1">
        <w:rPr>
          <w:rFonts w:cs="Arial"/>
          <w:b/>
          <w:bCs/>
          <w:szCs w:val="24"/>
          <w:shd w:val="clear" w:color="auto" w:fill="FFFFFF"/>
        </w:rPr>
        <w:t>Art. 6</w:t>
      </w:r>
      <w:r w:rsidRPr="00F924B1">
        <w:rPr>
          <w:rFonts w:cs="Arial"/>
          <w:szCs w:val="24"/>
          <w:shd w:val="clear" w:color="auto" w:fill="FFFFFF"/>
        </w:rPr>
        <w:t xml:space="preserve">º </w:t>
      </w:r>
      <w:r w:rsidR="00225AA4" w:rsidRPr="00F924B1">
        <w:rPr>
          <w:rFonts w:cs="Arial"/>
          <w:szCs w:val="24"/>
          <w:shd w:val="clear" w:color="auto" w:fill="FFFFFF"/>
        </w:rPr>
        <w:t>Os órgãos requisitantes identificarão os bens de consumo de luxo constantes dos documentos de formalização de demandas antes da elaboração do plano de contratações anual de que trata o inc</w:t>
      </w:r>
      <w:r w:rsidR="00A53CDD" w:rsidRPr="00F924B1">
        <w:rPr>
          <w:rFonts w:cs="Arial"/>
          <w:szCs w:val="24"/>
          <w:shd w:val="clear" w:color="auto" w:fill="FFFFFF"/>
        </w:rPr>
        <w:t>iso</w:t>
      </w:r>
      <w:r w:rsidR="00225AA4" w:rsidRPr="00F924B1">
        <w:rPr>
          <w:rFonts w:cs="Arial"/>
          <w:szCs w:val="24"/>
          <w:shd w:val="clear" w:color="auto" w:fill="FFFFFF"/>
        </w:rPr>
        <w:t xml:space="preserve"> VII do caput do art. 12 da Lei nº </w:t>
      </w:r>
      <w:hyperlink r:id="rId7" w:history="1">
        <w:r w:rsidR="00225AA4" w:rsidRPr="00F924B1">
          <w:rPr>
            <w:rStyle w:val="Hyperlink"/>
            <w:rFonts w:cs="Arial"/>
            <w:color w:val="auto"/>
            <w:szCs w:val="24"/>
            <w:u w:val="none"/>
            <w:shd w:val="clear" w:color="auto" w:fill="FFFFFF"/>
          </w:rPr>
          <w:t>14.133</w:t>
        </w:r>
      </w:hyperlink>
      <w:r w:rsidR="00A53CDD" w:rsidRPr="00F924B1">
        <w:rPr>
          <w:rFonts w:cs="Arial"/>
          <w:szCs w:val="24"/>
          <w:shd w:val="clear" w:color="auto" w:fill="FFFFFF"/>
        </w:rPr>
        <w:t>/</w:t>
      </w:r>
      <w:r w:rsidR="00225AA4" w:rsidRPr="00F924B1">
        <w:rPr>
          <w:rFonts w:cs="Arial"/>
          <w:szCs w:val="24"/>
          <w:shd w:val="clear" w:color="auto" w:fill="FFFFFF"/>
        </w:rPr>
        <w:t>2021.</w:t>
      </w:r>
    </w:p>
    <w:p w14:paraId="33B63405" w14:textId="77CD8A49" w:rsidR="00A53CDD" w:rsidRDefault="00225AA4" w:rsidP="00C020D5">
      <w:pPr>
        <w:spacing w:after="80" w:line="360" w:lineRule="auto"/>
        <w:rPr>
          <w:rFonts w:cs="Arial"/>
          <w:szCs w:val="24"/>
          <w:shd w:val="clear" w:color="auto" w:fill="FFFFFF"/>
        </w:rPr>
      </w:pPr>
      <w:r w:rsidRPr="00F924B1">
        <w:rPr>
          <w:rFonts w:cs="Arial"/>
          <w:szCs w:val="24"/>
          <w:shd w:val="clear" w:color="auto" w:fill="FFFFFF"/>
        </w:rPr>
        <w:t>Parágrafo único. Na hipótese de identificação de demandas por bens de consumo de luxo, nos termos do disposto no caput deste artigo, os documentos de formaliz</w:t>
      </w:r>
      <w:r w:rsidRPr="00F924B1">
        <w:rPr>
          <w:rFonts w:cs="Arial"/>
          <w:szCs w:val="24"/>
          <w:shd w:val="clear" w:color="auto" w:fill="FFFFFF"/>
        </w:rPr>
        <w:t>a</w:t>
      </w:r>
      <w:r w:rsidRPr="00F924B1">
        <w:rPr>
          <w:rFonts w:cs="Arial"/>
          <w:szCs w:val="24"/>
          <w:shd w:val="clear" w:color="auto" w:fill="FFFFFF"/>
        </w:rPr>
        <w:t>ção de demandas retornarão aos órgãos requisitantes para supressão ou substitu</w:t>
      </w:r>
      <w:r w:rsidRPr="00F924B1">
        <w:rPr>
          <w:rFonts w:cs="Arial"/>
          <w:szCs w:val="24"/>
          <w:shd w:val="clear" w:color="auto" w:fill="FFFFFF"/>
        </w:rPr>
        <w:t>i</w:t>
      </w:r>
      <w:r w:rsidRPr="00F924B1">
        <w:rPr>
          <w:rFonts w:cs="Arial"/>
          <w:szCs w:val="24"/>
          <w:shd w:val="clear" w:color="auto" w:fill="FFFFFF"/>
        </w:rPr>
        <w:t>ção dos bens demandados.</w:t>
      </w:r>
    </w:p>
    <w:p w14:paraId="233EF940" w14:textId="77777777" w:rsidR="00F924B1" w:rsidRDefault="00F924B1" w:rsidP="00C020D5">
      <w:pPr>
        <w:spacing w:after="80" w:line="360" w:lineRule="auto"/>
        <w:rPr>
          <w:rFonts w:cs="Arial"/>
          <w:szCs w:val="24"/>
          <w:shd w:val="clear" w:color="auto" w:fill="FFFFFF"/>
        </w:rPr>
      </w:pPr>
    </w:p>
    <w:p w14:paraId="29E64FB9" w14:textId="41ECC0ED" w:rsidR="00726E36" w:rsidRDefault="00A53CDD" w:rsidP="00C020D5">
      <w:pPr>
        <w:spacing w:after="80" w:line="360" w:lineRule="auto"/>
        <w:rPr>
          <w:rFonts w:cs="Arial"/>
          <w:szCs w:val="24"/>
          <w:shd w:val="clear" w:color="auto" w:fill="FFFFFF"/>
        </w:rPr>
      </w:pPr>
      <w:r w:rsidRPr="00F924B1">
        <w:rPr>
          <w:rFonts w:cs="Arial"/>
          <w:b/>
          <w:bCs/>
          <w:szCs w:val="24"/>
          <w:shd w:val="clear" w:color="auto" w:fill="FFFFFF"/>
        </w:rPr>
        <w:t>Art. 7</w:t>
      </w:r>
      <w:r w:rsidRPr="00F924B1">
        <w:rPr>
          <w:rFonts w:cs="Arial"/>
          <w:szCs w:val="24"/>
          <w:shd w:val="clear" w:color="auto" w:fill="FFFFFF"/>
        </w:rPr>
        <w:t xml:space="preserve">º </w:t>
      </w:r>
      <w:r w:rsidR="00726E36" w:rsidRPr="00F924B1">
        <w:rPr>
          <w:rFonts w:cs="Arial"/>
          <w:szCs w:val="24"/>
          <w:shd w:val="clear" w:color="auto" w:fill="FFFFFF"/>
        </w:rPr>
        <w:t xml:space="preserve">Revoga-se o Anexo III do Decreto Municipal nº 046/2016 </w:t>
      </w:r>
      <w:bookmarkStart w:id="0" w:name="_Hlk148343442"/>
      <w:r w:rsidR="00726E36" w:rsidRPr="00F924B1">
        <w:rPr>
          <w:rFonts w:cs="Arial"/>
          <w:szCs w:val="24"/>
          <w:shd w:val="clear" w:color="auto" w:fill="FFFFFF"/>
        </w:rPr>
        <w:t>e demais dispos</w:t>
      </w:r>
      <w:r w:rsidR="00726E36" w:rsidRPr="00F924B1">
        <w:rPr>
          <w:rFonts w:cs="Arial"/>
          <w:szCs w:val="24"/>
          <w:shd w:val="clear" w:color="auto" w:fill="FFFFFF"/>
        </w:rPr>
        <w:t>i</w:t>
      </w:r>
      <w:r w:rsidR="00726E36" w:rsidRPr="00F924B1">
        <w:rPr>
          <w:rFonts w:cs="Arial"/>
          <w:szCs w:val="24"/>
          <w:shd w:val="clear" w:color="auto" w:fill="FFFFFF"/>
        </w:rPr>
        <w:t>ções contrárias a este decreto.</w:t>
      </w:r>
    </w:p>
    <w:p w14:paraId="32B2122D" w14:textId="77777777" w:rsidR="00F924B1" w:rsidRDefault="00F924B1" w:rsidP="00C020D5">
      <w:pPr>
        <w:spacing w:after="80" w:line="360" w:lineRule="auto"/>
        <w:rPr>
          <w:rFonts w:cs="Arial"/>
          <w:szCs w:val="24"/>
          <w:shd w:val="clear" w:color="auto" w:fill="FFFFFF"/>
        </w:rPr>
      </w:pPr>
    </w:p>
    <w:bookmarkEnd w:id="0"/>
    <w:p w14:paraId="7C8C8445" w14:textId="18F3ED94" w:rsidR="00C020D5" w:rsidRPr="00AE16A2" w:rsidRDefault="00726E36" w:rsidP="00C020D5">
      <w:pPr>
        <w:spacing w:after="80" w:line="360" w:lineRule="auto"/>
        <w:rPr>
          <w:rFonts w:cs="Arial"/>
          <w:szCs w:val="24"/>
        </w:rPr>
      </w:pPr>
      <w:r w:rsidRPr="00F924B1">
        <w:rPr>
          <w:rFonts w:cs="Arial"/>
          <w:b/>
          <w:bCs/>
          <w:szCs w:val="24"/>
          <w:shd w:val="clear" w:color="auto" w:fill="FFFFFF"/>
        </w:rPr>
        <w:t>Art. 8</w:t>
      </w:r>
      <w:r w:rsidRPr="00F924B1">
        <w:rPr>
          <w:rFonts w:cs="Arial"/>
          <w:szCs w:val="24"/>
          <w:shd w:val="clear" w:color="auto" w:fill="FFFFFF"/>
        </w:rPr>
        <w:t xml:space="preserve">º </w:t>
      </w:r>
      <w:r w:rsidR="00EE3C7A" w:rsidRPr="00F924B1">
        <w:rPr>
          <w:rFonts w:eastAsia="Times New Roman" w:cs="Arial"/>
          <w:szCs w:val="24"/>
          <w:lang w:eastAsia="pt-BR"/>
        </w:rPr>
        <w:t xml:space="preserve">Este Decreto entra em vigor em 1º de janeiro de 2024. </w:t>
      </w:r>
    </w:p>
    <w:p w14:paraId="70061683" w14:textId="24796034" w:rsidR="00EE3C7A" w:rsidRPr="00F924B1" w:rsidRDefault="00EE3C7A" w:rsidP="00AE16A2">
      <w:pPr>
        <w:spacing w:after="80" w:line="360" w:lineRule="auto"/>
        <w:jc w:val="right"/>
        <w:rPr>
          <w:rFonts w:eastAsia="Times New Roman" w:cs="Arial"/>
          <w:szCs w:val="24"/>
          <w:lang w:eastAsia="pt-BR"/>
        </w:rPr>
      </w:pPr>
      <w:r w:rsidRPr="00F924B1">
        <w:rPr>
          <w:rFonts w:eastAsia="Times New Roman" w:cs="Arial"/>
          <w:szCs w:val="24"/>
          <w:shd w:val="clear" w:color="auto" w:fill="FFFFFF"/>
          <w:lang w:eastAsia="pt-BR"/>
        </w:rPr>
        <w:t xml:space="preserve">Santa Amélia/PR, </w:t>
      </w:r>
      <w:r w:rsidR="00AE16A2">
        <w:rPr>
          <w:rFonts w:eastAsia="Times New Roman" w:cs="Arial"/>
          <w:szCs w:val="24"/>
          <w:lang w:eastAsia="pt-BR"/>
        </w:rPr>
        <w:t>28</w:t>
      </w:r>
      <w:r w:rsidRPr="00F924B1">
        <w:rPr>
          <w:rFonts w:eastAsia="Times New Roman" w:cs="Arial"/>
          <w:szCs w:val="24"/>
          <w:lang w:eastAsia="pt-BR"/>
        </w:rPr>
        <w:t xml:space="preserve"> de dezembro de 2023.</w:t>
      </w:r>
    </w:p>
    <w:p w14:paraId="6B607D8A" w14:textId="77777777" w:rsidR="00C020D5" w:rsidRPr="00F924B1" w:rsidRDefault="00C020D5" w:rsidP="00C020D5">
      <w:pPr>
        <w:spacing w:after="80" w:line="360" w:lineRule="auto"/>
        <w:rPr>
          <w:rFonts w:eastAsia="Times New Roman" w:cs="Arial"/>
          <w:b/>
          <w:bCs/>
          <w:szCs w:val="24"/>
          <w:lang w:eastAsia="pt-BR"/>
        </w:rPr>
      </w:pPr>
      <w:bookmarkStart w:id="1" w:name="_GoBack"/>
      <w:bookmarkEnd w:id="1"/>
    </w:p>
    <w:p w14:paraId="29D46D39" w14:textId="35BB3EAF" w:rsidR="00EE3C7A" w:rsidRPr="00F924B1" w:rsidRDefault="00EE3C7A" w:rsidP="00F924B1">
      <w:pPr>
        <w:spacing w:after="0" w:line="240" w:lineRule="auto"/>
        <w:jc w:val="center"/>
        <w:rPr>
          <w:rFonts w:eastAsia="Times New Roman" w:cs="Arial"/>
          <w:szCs w:val="24"/>
          <w:lang w:eastAsia="pt-BR"/>
        </w:rPr>
      </w:pPr>
      <w:r w:rsidRPr="00F924B1">
        <w:rPr>
          <w:rFonts w:eastAsia="Times New Roman" w:cs="Arial"/>
          <w:b/>
          <w:bCs/>
          <w:szCs w:val="24"/>
          <w:lang w:eastAsia="pt-BR"/>
        </w:rPr>
        <w:t>ANTONIO CARLOS TAMAIS</w:t>
      </w:r>
    </w:p>
    <w:p w14:paraId="68CCAEF1" w14:textId="5BEC6911" w:rsidR="008F0F33" w:rsidRPr="00F924B1" w:rsidRDefault="00EE3C7A" w:rsidP="00F924B1">
      <w:pPr>
        <w:spacing w:after="0" w:line="240" w:lineRule="auto"/>
        <w:jc w:val="center"/>
        <w:rPr>
          <w:rFonts w:cs="Arial"/>
          <w:szCs w:val="24"/>
        </w:rPr>
      </w:pPr>
      <w:r w:rsidRPr="00F924B1">
        <w:rPr>
          <w:rFonts w:eastAsia="Times New Roman" w:cs="Arial"/>
          <w:szCs w:val="24"/>
          <w:lang w:eastAsia="pt-BR"/>
        </w:rPr>
        <w:t>Prefeito Municipal</w:t>
      </w:r>
    </w:p>
    <w:sectPr w:rsidR="008F0F33" w:rsidRPr="00F924B1" w:rsidSect="0042130A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134" w:right="1134" w:bottom="1701" w:left="1701" w:header="567" w:footer="567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F2883F" w14:textId="77777777" w:rsidR="0026236E" w:rsidRDefault="0026236E">
      <w:pPr>
        <w:spacing w:after="0" w:line="240" w:lineRule="auto"/>
      </w:pPr>
      <w:r>
        <w:separator/>
      </w:r>
    </w:p>
  </w:endnote>
  <w:endnote w:type="continuationSeparator" w:id="0">
    <w:p w14:paraId="6B0FA6E1" w14:textId="77777777" w:rsidR="0026236E" w:rsidRDefault="00262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urich Cn BT"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24A9AC" w14:textId="77777777" w:rsidR="00ED5D12" w:rsidRPr="00B60AC6" w:rsidRDefault="00A53CDD" w:rsidP="003F45F7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Book Antiqua" w:hAnsi="Book Antiqua" w:cs="Arial"/>
        <w:b/>
        <w:szCs w:val="24"/>
      </w:rPr>
    </w:pPr>
    <w:r w:rsidRPr="00B60AC6">
      <w:rPr>
        <w:rFonts w:ascii="Book Antiqua" w:hAnsi="Book Antiqua" w:cs="Arial"/>
        <w:b/>
        <w:szCs w:val="24"/>
      </w:rPr>
      <w:t>Rua Alcides Prudente Pavan, n° 130, Centro, CEP 86370</w:t>
    </w:r>
    <w:r>
      <w:rPr>
        <w:rFonts w:ascii="Book Antiqua" w:hAnsi="Book Antiqua" w:cs="Arial"/>
        <w:b/>
        <w:szCs w:val="24"/>
      </w:rPr>
      <w:t>-000, Fone/Fax: (043) 3544-1234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51EBB3" w14:textId="77777777" w:rsidR="0026236E" w:rsidRDefault="0026236E">
      <w:pPr>
        <w:spacing w:after="0" w:line="240" w:lineRule="auto"/>
      </w:pPr>
      <w:r>
        <w:separator/>
      </w:r>
    </w:p>
  </w:footnote>
  <w:footnote w:type="continuationSeparator" w:id="0">
    <w:p w14:paraId="0470C177" w14:textId="77777777" w:rsidR="0026236E" w:rsidRDefault="00262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3243C8" w14:textId="77777777" w:rsidR="00750654" w:rsidRDefault="0026236E">
    <w:pPr>
      <w:pStyle w:val="Cabealho"/>
    </w:pPr>
    <w:r>
      <w:rPr>
        <w:noProof/>
        <w:lang w:eastAsia="pt-BR"/>
      </w:rPr>
      <w:pict w14:anchorId="1BD6EE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862282" o:spid="_x0000_s2050" type="#_x0000_t75" style="position:absolute;left:0;text-align:left;margin-left:0;margin-top:0;width:61.75pt;height:84.35pt;z-index:-251658752;mso-position-horizontal:center;mso-position-horizontal-relative:margin;mso-position-vertical:center;mso-position-vertical-relative:margin" o:allowincell="f">
          <v:imagedata r:id="rId1" o:title="brasao3 (2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C2AD1C" w14:textId="77777777" w:rsidR="00ED5D12" w:rsidRDefault="0026236E" w:rsidP="001F04F2">
    <w:pPr>
      <w:pStyle w:val="Legenda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jc w:val="center"/>
      <w:rPr>
        <w:rFonts w:ascii="Book Antiqua" w:hAnsi="Book Antiqua"/>
        <w:b/>
        <w:sz w:val="32"/>
        <w:szCs w:val="32"/>
        <w:u w:val="none"/>
      </w:rPr>
    </w:pPr>
    <w:r>
      <w:rPr>
        <w:noProof/>
        <w:sz w:val="28"/>
        <w:szCs w:val="28"/>
      </w:rPr>
      <w:pict w14:anchorId="1F8826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862283" o:spid="_x0000_s2051" type="#_x0000_t75" style="position:absolute;left:0;text-align:left;margin-left:13pt;margin-top:-100.65pt;width:57.8pt;height:78.95pt;z-index:-251657728;mso-position-horizontal-relative:margin;mso-position-vertical-relative:margin" o:allowincell="f">
          <v:imagedata r:id="rId1" o:title="brasao3 (2)"/>
          <w10:wrap anchorx="margin" anchory="margin"/>
        </v:shape>
      </w:pict>
    </w:r>
  </w:p>
  <w:p w14:paraId="3777CFBB" w14:textId="77777777" w:rsidR="00ED5D12" w:rsidRPr="00E1341E" w:rsidRDefault="00A53CDD" w:rsidP="001F04F2">
    <w:pPr>
      <w:pStyle w:val="Legenda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jc w:val="center"/>
      <w:rPr>
        <w:rFonts w:ascii="Book Antiqua" w:hAnsi="Book Antiqua"/>
        <w:sz w:val="32"/>
        <w:szCs w:val="28"/>
      </w:rPr>
    </w:pPr>
    <w:r w:rsidRPr="00E1341E">
      <w:rPr>
        <w:rFonts w:ascii="Book Antiqua" w:hAnsi="Book Antiqua"/>
        <w:b/>
        <w:sz w:val="32"/>
        <w:szCs w:val="28"/>
        <w:u w:val="none"/>
      </w:rPr>
      <w:t xml:space="preserve">               </w:t>
    </w:r>
    <w:r w:rsidRPr="00E1341E">
      <w:rPr>
        <w:rFonts w:ascii="Book Antiqua" w:hAnsi="Book Antiqua"/>
        <w:b/>
        <w:sz w:val="32"/>
        <w:szCs w:val="28"/>
      </w:rPr>
      <w:t>PREFEITURA MUNICIPAL DE SANTA AMÉLIA</w:t>
    </w:r>
  </w:p>
  <w:p w14:paraId="0A691A7E" w14:textId="77777777" w:rsidR="00E1341E" w:rsidRDefault="00A53CDD" w:rsidP="00E1341E">
    <w:pPr>
      <w:pStyle w:val="Legenda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tabs>
        <w:tab w:val="left" w:pos="555"/>
        <w:tab w:val="left" w:pos="675"/>
        <w:tab w:val="center" w:pos="4535"/>
      </w:tabs>
      <w:jc w:val="center"/>
      <w:rPr>
        <w:rFonts w:ascii="Book Antiqua" w:hAnsi="Book Antiqua"/>
        <w:sz w:val="28"/>
        <w:szCs w:val="28"/>
        <w:u w:val="none"/>
      </w:rPr>
    </w:pPr>
    <w:r w:rsidRPr="00E1341E">
      <w:rPr>
        <w:rFonts w:ascii="Book Antiqua" w:hAnsi="Book Antiqua"/>
        <w:sz w:val="28"/>
        <w:szCs w:val="28"/>
        <w:u w:val="none"/>
      </w:rPr>
      <w:t>ESTADO DO PARANÁ</w:t>
    </w:r>
  </w:p>
  <w:p w14:paraId="7D2A1A47" w14:textId="77777777" w:rsidR="00ED5D12" w:rsidRPr="00E1341E" w:rsidRDefault="00A53CDD" w:rsidP="00E1341E">
    <w:pPr>
      <w:pStyle w:val="Legenda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tabs>
        <w:tab w:val="left" w:pos="555"/>
        <w:tab w:val="left" w:pos="675"/>
        <w:tab w:val="center" w:pos="4535"/>
      </w:tabs>
      <w:jc w:val="center"/>
      <w:rPr>
        <w:rFonts w:ascii="Book Antiqua" w:hAnsi="Book Antiqua"/>
        <w:sz w:val="28"/>
        <w:szCs w:val="28"/>
        <w:u w:val="none"/>
      </w:rPr>
    </w:pPr>
    <w:r w:rsidRPr="00E1341E">
      <w:rPr>
        <w:rFonts w:ascii="Book Antiqua" w:hAnsi="Book Antiqua"/>
        <w:sz w:val="28"/>
        <w:szCs w:val="28"/>
        <w:u w:val="none"/>
      </w:rPr>
      <w:t>CNPJ Nº 76.235.746/0001-46</w:t>
    </w:r>
  </w:p>
  <w:p w14:paraId="533F1312" w14:textId="77777777" w:rsidR="00ED5D12" w:rsidRDefault="0026236E" w:rsidP="001F04F2">
    <w:pPr>
      <w:pStyle w:val="Legenda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tabs>
        <w:tab w:val="left" w:pos="3300"/>
        <w:tab w:val="center" w:pos="4535"/>
      </w:tabs>
      <w:rPr>
        <w:rFonts w:ascii="Book Antiqua" w:hAnsi="Book Antiqua"/>
        <w:sz w:val="28"/>
        <w:szCs w:val="32"/>
        <w:u w:val="none"/>
      </w:rPr>
    </w:pPr>
  </w:p>
  <w:p w14:paraId="35CB8E5A" w14:textId="77777777" w:rsidR="00ED5D12" w:rsidRPr="001F04F2" w:rsidRDefault="0026236E" w:rsidP="001F04F2">
    <w:pPr>
      <w:rPr>
        <w:sz w:val="2"/>
        <w:szCs w:val="2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A864BA" w14:textId="77777777" w:rsidR="00750654" w:rsidRDefault="0026236E">
    <w:pPr>
      <w:pStyle w:val="Cabealho"/>
    </w:pPr>
    <w:r>
      <w:rPr>
        <w:noProof/>
        <w:lang w:eastAsia="pt-BR"/>
      </w:rPr>
      <w:pict w14:anchorId="454918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862281" o:spid="_x0000_s2049" type="#_x0000_t75" style="position:absolute;left:0;text-align:left;margin-left:0;margin-top:0;width:61.75pt;height:84.35pt;z-index:-251659776;mso-position-horizontal:center;mso-position-horizontal-relative:margin;mso-position-vertical:center;mso-position-vertical-relative:margin" o:allowincell="f">
          <v:imagedata r:id="rId1" o:title="brasao3 (2)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C7A"/>
    <w:rsid w:val="001955BA"/>
    <w:rsid w:val="00225AA4"/>
    <w:rsid w:val="0026236E"/>
    <w:rsid w:val="00371E34"/>
    <w:rsid w:val="003A6B29"/>
    <w:rsid w:val="005F3A88"/>
    <w:rsid w:val="006D36A0"/>
    <w:rsid w:val="00726E36"/>
    <w:rsid w:val="008241C2"/>
    <w:rsid w:val="0085797F"/>
    <w:rsid w:val="00870EB3"/>
    <w:rsid w:val="008F0F33"/>
    <w:rsid w:val="0099708F"/>
    <w:rsid w:val="00A53CDD"/>
    <w:rsid w:val="00AE16A2"/>
    <w:rsid w:val="00C020D5"/>
    <w:rsid w:val="00C50760"/>
    <w:rsid w:val="00EE3C7A"/>
    <w:rsid w:val="00F64763"/>
    <w:rsid w:val="00F9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2B03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C7A"/>
    <w:pPr>
      <w:spacing w:after="200" w:line="276" w:lineRule="auto"/>
      <w:jc w:val="both"/>
    </w:pPr>
    <w:rPr>
      <w:rFonts w:ascii="Arial" w:eastAsia="Calibri" w:hAnsi="Arial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EE3C7A"/>
    <w:pPr>
      <w:tabs>
        <w:tab w:val="center" w:pos="4252"/>
        <w:tab w:val="right" w:pos="8504"/>
      </w:tabs>
      <w:spacing w:after="0" w:line="240" w:lineRule="auto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EE3C7A"/>
  </w:style>
  <w:style w:type="paragraph" w:styleId="Legenda">
    <w:name w:val="caption"/>
    <w:basedOn w:val="Normal"/>
    <w:next w:val="Normal"/>
    <w:unhideWhenUsed/>
    <w:qFormat/>
    <w:rsid w:val="00EE3C7A"/>
    <w:pPr>
      <w:spacing w:after="0" w:line="240" w:lineRule="auto"/>
      <w:jc w:val="left"/>
    </w:pPr>
    <w:rPr>
      <w:rFonts w:ascii="Zurich Cn BT" w:eastAsia="Times New Roman" w:hAnsi="Zurich Cn BT"/>
      <w:sz w:val="4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E3C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C7A"/>
    <w:rPr>
      <w:rFonts w:ascii="Arial" w:eastAsia="Calibri" w:hAnsi="Arial" w:cs="Times New Roman"/>
      <w:sz w:val="24"/>
      <w:szCs w:val="20"/>
    </w:rPr>
  </w:style>
  <w:style w:type="character" w:customStyle="1" w:styleId="fontstyle01">
    <w:name w:val="fontstyle01"/>
    <w:basedOn w:val="Fontepargpadro"/>
    <w:rsid w:val="00EE3C7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EE3C7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E3C7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customStyle="1" w:styleId="label">
    <w:name w:val="label"/>
    <w:basedOn w:val="Fontepargpadro"/>
    <w:rsid w:val="00225AA4"/>
  </w:style>
  <w:style w:type="character" w:styleId="Hyperlink">
    <w:name w:val="Hyperlink"/>
    <w:basedOn w:val="Fontepargpadro"/>
    <w:uiPriority w:val="99"/>
    <w:semiHidden/>
    <w:unhideWhenUsed/>
    <w:rsid w:val="00225AA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C7A"/>
    <w:pPr>
      <w:spacing w:after="200" w:line="276" w:lineRule="auto"/>
      <w:jc w:val="both"/>
    </w:pPr>
    <w:rPr>
      <w:rFonts w:ascii="Arial" w:eastAsia="Calibri" w:hAnsi="Arial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EE3C7A"/>
    <w:pPr>
      <w:tabs>
        <w:tab w:val="center" w:pos="4252"/>
        <w:tab w:val="right" w:pos="8504"/>
      </w:tabs>
      <w:spacing w:after="0" w:line="240" w:lineRule="auto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EE3C7A"/>
  </w:style>
  <w:style w:type="paragraph" w:styleId="Legenda">
    <w:name w:val="caption"/>
    <w:basedOn w:val="Normal"/>
    <w:next w:val="Normal"/>
    <w:unhideWhenUsed/>
    <w:qFormat/>
    <w:rsid w:val="00EE3C7A"/>
    <w:pPr>
      <w:spacing w:after="0" w:line="240" w:lineRule="auto"/>
      <w:jc w:val="left"/>
    </w:pPr>
    <w:rPr>
      <w:rFonts w:ascii="Zurich Cn BT" w:eastAsia="Times New Roman" w:hAnsi="Zurich Cn BT"/>
      <w:sz w:val="4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E3C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C7A"/>
    <w:rPr>
      <w:rFonts w:ascii="Arial" w:eastAsia="Calibri" w:hAnsi="Arial" w:cs="Times New Roman"/>
      <w:sz w:val="24"/>
      <w:szCs w:val="20"/>
    </w:rPr>
  </w:style>
  <w:style w:type="character" w:customStyle="1" w:styleId="fontstyle01">
    <w:name w:val="fontstyle01"/>
    <w:basedOn w:val="Fontepargpadro"/>
    <w:rsid w:val="00EE3C7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EE3C7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E3C7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customStyle="1" w:styleId="label">
    <w:name w:val="label"/>
    <w:basedOn w:val="Fontepargpadro"/>
    <w:rsid w:val="00225AA4"/>
  </w:style>
  <w:style w:type="character" w:styleId="Hyperlink">
    <w:name w:val="Hyperlink"/>
    <w:basedOn w:val="Fontepargpadro"/>
    <w:uiPriority w:val="99"/>
    <w:semiHidden/>
    <w:unhideWhenUsed/>
    <w:rsid w:val="00225A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7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eismunicipais.com.br/a/rs/p/porto-alegre/lei-ordinaria/2021/1413/14133/lei-ordinaria-n-14133-2021-este-ato-ainda-nao-esta-disponivel-no-sistema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638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Centrium</cp:lastModifiedBy>
  <cp:revision>8</cp:revision>
  <dcterms:created xsi:type="dcterms:W3CDTF">2023-10-10T19:48:00Z</dcterms:created>
  <dcterms:modified xsi:type="dcterms:W3CDTF">2023-12-28T19:44:00Z</dcterms:modified>
</cp:coreProperties>
</file>