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A9C7F" w14:textId="140938F8" w:rsidR="00287F52" w:rsidRPr="00F05F04" w:rsidRDefault="003E5528" w:rsidP="00287F52">
      <w:pPr>
        <w:spacing w:after="80" w:line="360" w:lineRule="auto"/>
        <w:ind w:firstLine="2268"/>
        <w:rPr>
          <w:rFonts w:ascii="Bookman Old Style" w:eastAsia="Times New Roman" w:hAnsi="Bookman Old Style"/>
          <w:b/>
          <w:bCs/>
          <w:sz w:val="22"/>
          <w:szCs w:val="22"/>
          <w:lang w:eastAsia="pt-BR"/>
        </w:rPr>
      </w:pPr>
      <w:r>
        <w:rPr>
          <w:rFonts w:ascii="Bookman Old Style" w:eastAsia="Times New Roman" w:hAnsi="Bookman Old Style" w:cs="Arial"/>
          <w:b/>
          <w:bCs/>
          <w:color w:val="000000"/>
          <w:sz w:val="22"/>
          <w:szCs w:val="22"/>
          <w:u w:val="single"/>
          <w:lang w:eastAsia="pt-BR"/>
        </w:rPr>
        <w:t>DECRETO Nº 94</w:t>
      </w:r>
      <w:r w:rsidR="00287F52" w:rsidRPr="00F05F04">
        <w:rPr>
          <w:rFonts w:ascii="Bookman Old Style" w:eastAsia="Times New Roman" w:hAnsi="Bookman Old Style" w:cs="Arial"/>
          <w:b/>
          <w:bCs/>
          <w:color w:val="000000"/>
          <w:sz w:val="22"/>
          <w:szCs w:val="22"/>
          <w:u w:val="single"/>
          <w:lang w:eastAsia="pt-BR"/>
        </w:rPr>
        <w:t>,</w:t>
      </w:r>
      <w:r>
        <w:rPr>
          <w:rFonts w:ascii="Bookman Old Style" w:eastAsia="Times New Roman" w:hAnsi="Bookman Old Style" w:cs="Arial"/>
          <w:b/>
          <w:bCs/>
          <w:color w:val="000000"/>
          <w:sz w:val="22"/>
          <w:szCs w:val="22"/>
          <w:u w:val="single"/>
          <w:lang w:eastAsia="pt-BR"/>
        </w:rPr>
        <w:t>29 DE DEZEMBRO</w:t>
      </w:r>
      <w:r w:rsidR="00287F52" w:rsidRPr="00F05F04">
        <w:rPr>
          <w:rFonts w:ascii="Bookman Old Style" w:eastAsia="Times New Roman" w:hAnsi="Bookman Old Style" w:cs="Arial"/>
          <w:b/>
          <w:bCs/>
          <w:color w:val="000000"/>
          <w:sz w:val="22"/>
          <w:szCs w:val="22"/>
          <w:u w:val="single"/>
          <w:lang w:eastAsia="pt-BR"/>
        </w:rPr>
        <w:t xml:space="preserve"> DE 2023</w:t>
      </w:r>
      <w:r w:rsidR="00287F52" w:rsidRPr="00F05F04">
        <w:rPr>
          <w:rFonts w:ascii="Bookman Old Style" w:eastAsia="Times New Roman" w:hAnsi="Bookman Old Style" w:cs="Arial"/>
          <w:color w:val="000000"/>
          <w:sz w:val="22"/>
          <w:szCs w:val="22"/>
          <w:lang w:eastAsia="pt-BR"/>
        </w:rPr>
        <w:t>.</w:t>
      </w:r>
    </w:p>
    <w:p w14:paraId="7922B6A9" w14:textId="77777777" w:rsidR="00287F52" w:rsidRPr="00F05F04" w:rsidRDefault="00287F52" w:rsidP="00287F52">
      <w:pPr>
        <w:spacing w:after="80" w:line="360" w:lineRule="auto"/>
        <w:jc w:val="center"/>
        <w:rPr>
          <w:rFonts w:ascii="Bookman Old Style" w:eastAsia="Times New Roman" w:hAnsi="Bookman Old Style" w:cs="Arial"/>
          <w:color w:val="000000"/>
          <w:sz w:val="18"/>
          <w:szCs w:val="18"/>
          <w:lang w:eastAsia="pt-BR"/>
        </w:rPr>
      </w:pPr>
    </w:p>
    <w:p w14:paraId="43C65B6B" w14:textId="29B2B3B4" w:rsidR="00287F52" w:rsidRPr="00F05F04" w:rsidRDefault="00287F52" w:rsidP="00115574">
      <w:pPr>
        <w:spacing w:after="80" w:line="360" w:lineRule="auto"/>
        <w:ind w:left="1134"/>
        <w:rPr>
          <w:rFonts w:ascii="Bookman Old Style" w:eastAsia="Times New Roman" w:hAnsi="Bookman Old Style" w:cs="Arial"/>
          <w:color w:val="000000"/>
          <w:sz w:val="18"/>
          <w:szCs w:val="18"/>
          <w:lang w:eastAsia="pt-BR"/>
        </w:rPr>
      </w:pPr>
      <w:r w:rsidRPr="00F05F04">
        <w:rPr>
          <w:rFonts w:ascii="Bookman Old Style" w:eastAsia="Times New Roman" w:hAnsi="Bookman Old Style" w:cs="Arial"/>
          <w:b/>
          <w:bCs/>
          <w:color w:val="000000"/>
          <w:sz w:val="18"/>
          <w:szCs w:val="18"/>
          <w:u w:val="single"/>
          <w:lang w:eastAsia="pt-BR"/>
        </w:rPr>
        <w:t>SÚMULA</w:t>
      </w:r>
      <w:r w:rsidRPr="00F05F04">
        <w:rPr>
          <w:rFonts w:ascii="Bookman Old Style" w:eastAsia="Times New Roman" w:hAnsi="Bookman Old Style" w:cs="Arial"/>
          <w:color w:val="000000"/>
          <w:sz w:val="18"/>
          <w:szCs w:val="18"/>
          <w:lang w:eastAsia="pt-BR"/>
        </w:rPr>
        <w:t xml:space="preserve">: regulamenta a contração de serviços </w:t>
      </w:r>
      <w:r w:rsidRPr="00F05F04">
        <w:rPr>
          <w:rFonts w:ascii="Bookman Old Style" w:hAnsi="Bookman Old Style"/>
          <w:color w:val="000000"/>
          <w:sz w:val="18"/>
          <w:szCs w:val="18"/>
        </w:rPr>
        <w:t>técnicos profissionais</w:t>
      </w:r>
      <w:r w:rsidR="0011557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F05F04">
        <w:rPr>
          <w:rFonts w:ascii="Bookman Old Style" w:hAnsi="Bookman Old Style"/>
          <w:color w:val="000000"/>
          <w:sz w:val="18"/>
          <w:szCs w:val="18"/>
        </w:rPr>
        <w:t>especializados de natureza predominantemente intelectual de engenharia e</w:t>
      </w:r>
      <w:r w:rsidR="0011557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F05F04">
        <w:rPr>
          <w:rFonts w:ascii="Bookman Old Style" w:hAnsi="Bookman Old Style"/>
          <w:color w:val="000000"/>
          <w:sz w:val="18"/>
          <w:szCs w:val="18"/>
        </w:rPr>
        <w:t>arquitetura e aprovação de pr</w:t>
      </w:r>
      <w:r w:rsidRPr="00F05F04">
        <w:rPr>
          <w:rFonts w:ascii="Bookman Old Style" w:hAnsi="Bookman Old Style"/>
          <w:color w:val="000000"/>
          <w:sz w:val="18"/>
          <w:szCs w:val="18"/>
        </w:rPr>
        <w:t>o</w:t>
      </w:r>
      <w:r w:rsidRPr="00F05F04">
        <w:rPr>
          <w:rFonts w:ascii="Bookman Old Style" w:hAnsi="Bookman Old Style"/>
          <w:color w:val="000000"/>
          <w:sz w:val="18"/>
          <w:szCs w:val="18"/>
        </w:rPr>
        <w:t xml:space="preserve">jetos básicos de obras e serviços </w:t>
      </w:r>
      <w:r w:rsidRPr="00F05F04">
        <w:rPr>
          <w:rFonts w:ascii="Bookman Old Style" w:eastAsia="Times New Roman" w:hAnsi="Bookman Old Style" w:cs="Arial"/>
          <w:color w:val="000000"/>
          <w:sz w:val="18"/>
          <w:szCs w:val="18"/>
          <w:lang w:eastAsia="pt-BR"/>
        </w:rPr>
        <w:t>nos processos</w:t>
      </w:r>
      <w:r w:rsidR="00115574">
        <w:rPr>
          <w:rFonts w:ascii="Bookman Old Style" w:eastAsia="Times New Roman" w:hAnsi="Bookman Old Style" w:cs="Arial"/>
          <w:color w:val="000000"/>
          <w:sz w:val="18"/>
          <w:szCs w:val="18"/>
          <w:lang w:eastAsia="pt-BR"/>
        </w:rPr>
        <w:t xml:space="preserve"> </w:t>
      </w:r>
      <w:r w:rsidRPr="00F05F04">
        <w:rPr>
          <w:rFonts w:ascii="Bookman Old Style" w:eastAsia="Times New Roman" w:hAnsi="Bookman Old Style" w:cs="Arial"/>
          <w:color w:val="000000"/>
          <w:sz w:val="18"/>
          <w:szCs w:val="18"/>
          <w:lang w:eastAsia="pt-BR"/>
        </w:rPr>
        <w:t>de licitação e contratação direta no âmbito da Administração Pública do Poder</w:t>
      </w:r>
      <w:r w:rsidR="00115574">
        <w:rPr>
          <w:rFonts w:ascii="Bookman Old Style" w:eastAsia="Times New Roman" w:hAnsi="Bookman Old Style" w:cs="Arial"/>
          <w:color w:val="000000"/>
          <w:sz w:val="18"/>
          <w:szCs w:val="18"/>
          <w:lang w:eastAsia="pt-BR"/>
        </w:rPr>
        <w:t xml:space="preserve"> </w:t>
      </w:r>
      <w:r w:rsidRPr="00F05F04">
        <w:rPr>
          <w:rFonts w:ascii="Bookman Old Style" w:eastAsia="Times New Roman" w:hAnsi="Bookman Old Style" w:cs="Arial"/>
          <w:color w:val="000000"/>
          <w:sz w:val="18"/>
          <w:szCs w:val="18"/>
          <w:lang w:eastAsia="pt-BR"/>
        </w:rPr>
        <w:t>Executivo Municipal e outras providências.</w:t>
      </w:r>
    </w:p>
    <w:p w14:paraId="2BADF29C" w14:textId="77777777" w:rsidR="00287F52" w:rsidRPr="00F05F04" w:rsidRDefault="00287F52" w:rsidP="00287F52">
      <w:pPr>
        <w:spacing w:after="80" w:line="360" w:lineRule="auto"/>
        <w:ind w:firstLine="1134"/>
        <w:rPr>
          <w:rFonts w:ascii="Bookman Old Style" w:hAnsi="Bookman Old Style"/>
          <w:color w:val="000000"/>
          <w:sz w:val="18"/>
          <w:szCs w:val="18"/>
        </w:rPr>
      </w:pPr>
    </w:p>
    <w:p w14:paraId="4B41233D" w14:textId="77777777" w:rsidR="00287F52" w:rsidRPr="00F05F04" w:rsidRDefault="00287F52" w:rsidP="00287F52">
      <w:pPr>
        <w:spacing w:after="80" w:line="360" w:lineRule="auto"/>
        <w:ind w:firstLine="1134"/>
        <w:rPr>
          <w:rFonts w:ascii="Bookman Old Style" w:eastAsia="Times New Roman" w:hAnsi="Bookman Old Style" w:cs="Arial"/>
          <w:sz w:val="18"/>
          <w:szCs w:val="18"/>
          <w:lang w:eastAsia="pt-BR"/>
        </w:rPr>
      </w:pPr>
      <w:r w:rsidRPr="00F05F04">
        <w:rPr>
          <w:rFonts w:ascii="Bookman Old Style" w:hAnsi="Bookman Old Style" w:cs="Arial"/>
          <w:sz w:val="18"/>
          <w:szCs w:val="18"/>
        </w:rPr>
        <w:t xml:space="preserve">O Prefeito Municipal de Santa Amélia, Estado do Paraná, </w:t>
      </w:r>
      <w:r w:rsidRPr="00F05F04">
        <w:rPr>
          <w:rFonts w:ascii="Bookman Old Style" w:hAnsi="Bookman Old Style" w:cs="Arial"/>
          <w:b/>
          <w:bCs/>
          <w:sz w:val="18"/>
          <w:szCs w:val="18"/>
        </w:rPr>
        <w:t>ANTÔNIO CARLOS TAMAIS</w:t>
      </w:r>
      <w:r w:rsidRPr="00F05F04">
        <w:rPr>
          <w:rFonts w:ascii="Bookman Old Style" w:hAnsi="Bookman Old Style" w:cs="Arial"/>
          <w:sz w:val="18"/>
          <w:szCs w:val="18"/>
        </w:rPr>
        <w:t>, no uso de suas atribuições legais e em conformidade com as disposições do art. 62, VI, da Lei Orgân</w:t>
      </w:r>
      <w:r w:rsidRPr="00F05F04">
        <w:rPr>
          <w:rFonts w:ascii="Bookman Old Style" w:hAnsi="Bookman Old Style" w:cs="Arial"/>
          <w:sz w:val="18"/>
          <w:szCs w:val="18"/>
        </w:rPr>
        <w:t>i</w:t>
      </w:r>
      <w:r w:rsidRPr="00F05F04">
        <w:rPr>
          <w:rFonts w:ascii="Bookman Old Style" w:hAnsi="Bookman Old Style" w:cs="Arial"/>
          <w:sz w:val="18"/>
          <w:szCs w:val="18"/>
        </w:rPr>
        <w:t xml:space="preserve">ca do Município – LOM de Santa Amélia/PR, e com art. 6º, XXV, da </w:t>
      </w:r>
      <w:r w:rsidRPr="00F05F04">
        <w:rPr>
          <w:rFonts w:ascii="Bookman Old Style" w:eastAsia="Times New Roman" w:hAnsi="Bookman Old Style" w:cs="Arial"/>
          <w:sz w:val="18"/>
          <w:szCs w:val="18"/>
          <w:lang w:eastAsia="pt-BR"/>
        </w:rPr>
        <w:t xml:space="preserve">lei federal nº 14.133/2021, </w:t>
      </w:r>
      <w:r w:rsidRPr="00F05F04">
        <w:rPr>
          <w:rFonts w:ascii="Bookman Old Style" w:hAnsi="Bookman Old Style" w:cs="Arial"/>
          <w:sz w:val="18"/>
          <w:szCs w:val="18"/>
        </w:rPr>
        <w:t xml:space="preserve">de Licitações de Contratos Administrativos, </w:t>
      </w:r>
      <w:r w:rsidRPr="00F05F04">
        <w:rPr>
          <w:rFonts w:ascii="Bookman Old Style" w:eastAsia="Times New Roman" w:hAnsi="Bookman Old Style" w:cs="Arial"/>
          <w:b/>
          <w:bCs/>
          <w:color w:val="000000"/>
          <w:sz w:val="18"/>
          <w:szCs w:val="18"/>
          <w:lang w:eastAsia="pt-BR"/>
        </w:rPr>
        <w:t>D E C R E T A</w:t>
      </w:r>
      <w:r w:rsidRPr="00F05F04">
        <w:rPr>
          <w:rFonts w:ascii="Bookman Old Style" w:eastAsia="Times New Roman" w:hAnsi="Bookman Old Style" w:cs="Arial"/>
          <w:color w:val="000000"/>
          <w:sz w:val="18"/>
          <w:szCs w:val="18"/>
          <w:lang w:eastAsia="pt-BR"/>
        </w:rPr>
        <w:t>:</w:t>
      </w:r>
    </w:p>
    <w:p w14:paraId="1CF1A976" w14:textId="77777777" w:rsidR="00287F52" w:rsidRPr="00F05F04" w:rsidRDefault="00287F52" w:rsidP="00287F52">
      <w:pPr>
        <w:spacing w:after="80" w:line="360" w:lineRule="auto"/>
        <w:rPr>
          <w:rStyle w:val="fontstyle01"/>
          <w:rFonts w:ascii="Bookman Old Style" w:hAnsi="Bookman Old Style"/>
          <w:sz w:val="18"/>
          <w:szCs w:val="18"/>
        </w:rPr>
      </w:pPr>
    </w:p>
    <w:p w14:paraId="7DFEE696" w14:textId="77777777" w:rsidR="00287F52" w:rsidRPr="00F05F04" w:rsidRDefault="00287F52" w:rsidP="00287F52">
      <w:pPr>
        <w:spacing w:after="80" w:line="360" w:lineRule="auto"/>
        <w:jc w:val="center"/>
        <w:rPr>
          <w:rFonts w:ascii="Bookman Old Style" w:hAnsi="Bookman Old Style"/>
          <w:b/>
          <w:bCs/>
          <w:color w:val="000000"/>
          <w:sz w:val="18"/>
          <w:szCs w:val="18"/>
        </w:rPr>
      </w:pPr>
      <w:r w:rsidRPr="00F05F04">
        <w:rPr>
          <w:rStyle w:val="fontstyle01"/>
          <w:rFonts w:ascii="Bookman Old Style" w:hAnsi="Bookman Old Style"/>
          <w:sz w:val="18"/>
          <w:szCs w:val="18"/>
        </w:rPr>
        <w:t>CAPÍTULO I</w:t>
      </w:r>
      <w:r w:rsidRPr="00F05F04">
        <w:rPr>
          <w:rFonts w:ascii="Bookman Old Style" w:hAnsi="Bookman Old Style"/>
          <w:b/>
          <w:bCs/>
          <w:color w:val="000000"/>
          <w:sz w:val="18"/>
          <w:szCs w:val="18"/>
        </w:rPr>
        <w:br/>
      </w:r>
      <w:r w:rsidRPr="00F05F04">
        <w:rPr>
          <w:rStyle w:val="fontstyle01"/>
          <w:rFonts w:ascii="Bookman Old Style" w:hAnsi="Bookman Old Style"/>
          <w:b w:val="0"/>
          <w:bCs w:val="0"/>
          <w:sz w:val="18"/>
          <w:szCs w:val="18"/>
        </w:rPr>
        <w:t>DAS DISPOSIÇÕES GERAIS</w:t>
      </w:r>
    </w:p>
    <w:p w14:paraId="36E0F6B6" w14:textId="77777777" w:rsidR="00287F52" w:rsidRPr="00F05F04" w:rsidRDefault="00287F52" w:rsidP="00287F52">
      <w:pPr>
        <w:spacing w:after="8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F05F04">
        <w:rPr>
          <w:rStyle w:val="fontstyle21"/>
          <w:rFonts w:ascii="Bookman Old Style" w:hAnsi="Bookman Old Style"/>
          <w:b/>
          <w:bCs/>
          <w:sz w:val="18"/>
          <w:szCs w:val="18"/>
        </w:rPr>
        <w:t>Art. 1</w:t>
      </w:r>
      <w:r w:rsidRPr="00F05F04">
        <w:rPr>
          <w:rStyle w:val="fontstyle21"/>
          <w:rFonts w:ascii="Bookman Old Style" w:hAnsi="Bookman Old Style"/>
          <w:sz w:val="18"/>
          <w:szCs w:val="18"/>
        </w:rPr>
        <w:t xml:space="preserve">º </w:t>
      </w:r>
      <w:r w:rsidRPr="00F05F04">
        <w:rPr>
          <w:rFonts w:ascii="Bookman Old Style" w:hAnsi="Bookman Old Style"/>
          <w:color w:val="000000"/>
          <w:sz w:val="18"/>
          <w:szCs w:val="18"/>
        </w:rPr>
        <w:t>No âmbito da Administração Pública Direta do Município, os projetos básicos de obras e serv</w:t>
      </w:r>
      <w:r w:rsidRPr="00F05F04">
        <w:rPr>
          <w:rFonts w:ascii="Bookman Old Style" w:hAnsi="Bookman Old Style"/>
          <w:color w:val="000000"/>
          <w:sz w:val="18"/>
          <w:szCs w:val="18"/>
        </w:rPr>
        <w:t>i</w:t>
      </w:r>
      <w:r w:rsidRPr="00F05F04">
        <w:rPr>
          <w:rFonts w:ascii="Bookman Old Style" w:hAnsi="Bookman Old Style"/>
          <w:color w:val="000000"/>
          <w:sz w:val="18"/>
          <w:szCs w:val="18"/>
        </w:rPr>
        <w:t>ços de engenharia e arquitetura, assim como suas eventuais complementações e detalhamentos, dev</w:t>
      </w:r>
      <w:r w:rsidRPr="00F05F04">
        <w:rPr>
          <w:rFonts w:ascii="Bookman Old Style" w:hAnsi="Bookman Old Style"/>
          <w:color w:val="000000"/>
          <w:sz w:val="18"/>
          <w:szCs w:val="18"/>
        </w:rPr>
        <w:t>e</w:t>
      </w:r>
      <w:r w:rsidRPr="00F05F04">
        <w:rPr>
          <w:rFonts w:ascii="Bookman Old Style" w:hAnsi="Bookman Old Style"/>
          <w:color w:val="000000"/>
          <w:sz w:val="18"/>
          <w:szCs w:val="18"/>
        </w:rPr>
        <w:t>rão ser submetidos à aprovação da autoridade competente em procedimentos instruídos com os s</w:t>
      </w:r>
      <w:r w:rsidRPr="00F05F04">
        <w:rPr>
          <w:rFonts w:ascii="Bookman Old Style" w:hAnsi="Bookman Old Style"/>
          <w:color w:val="000000"/>
          <w:sz w:val="18"/>
          <w:szCs w:val="18"/>
        </w:rPr>
        <w:t>e</w:t>
      </w:r>
      <w:r w:rsidRPr="00F05F04">
        <w:rPr>
          <w:rFonts w:ascii="Bookman Old Style" w:hAnsi="Bookman Old Style"/>
          <w:color w:val="000000"/>
          <w:sz w:val="18"/>
          <w:szCs w:val="18"/>
        </w:rPr>
        <w:t>guintes elementos:</w:t>
      </w:r>
    </w:p>
    <w:p w14:paraId="6F658572" w14:textId="77777777" w:rsidR="00287F52" w:rsidRPr="00F05F04" w:rsidRDefault="00287F52" w:rsidP="00287F52">
      <w:pPr>
        <w:spacing w:after="8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F05F04">
        <w:rPr>
          <w:rFonts w:ascii="Bookman Old Style" w:hAnsi="Bookman Old Style"/>
          <w:color w:val="000000"/>
          <w:sz w:val="18"/>
          <w:szCs w:val="18"/>
        </w:rPr>
        <w:t>I – notas explicativas, contendo a análise, no mínimo, dos aspectos indicados no Anexo I;</w:t>
      </w:r>
    </w:p>
    <w:p w14:paraId="24BD64BF" w14:textId="77777777" w:rsidR="00287F52" w:rsidRPr="00F05F04" w:rsidRDefault="00287F52" w:rsidP="00287F52">
      <w:pPr>
        <w:spacing w:after="8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F05F04">
        <w:rPr>
          <w:rFonts w:ascii="Bookman Old Style" w:hAnsi="Bookman Old Style"/>
          <w:color w:val="000000"/>
          <w:sz w:val="18"/>
          <w:szCs w:val="18"/>
        </w:rPr>
        <w:t>II – estudos técnicos preliminares, memoriais descritivos, desenhos, elementos gráficos, especificações ou outros complementos, elaborados conforme as diretrizes fixadas no Anexo II;</w:t>
      </w:r>
    </w:p>
    <w:p w14:paraId="10CEB075" w14:textId="77777777" w:rsidR="00287F52" w:rsidRPr="00F05F04" w:rsidRDefault="00287F52" w:rsidP="00287F52">
      <w:pPr>
        <w:spacing w:after="8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F05F04">
        <w:rPr>
          <w:rFonts w:ascii="Bookman Old Style" w:hAnsi="Bookman Old Style"/>
          <w:color w:val="000000"/>
          <w:sz w:val="18"/>
          <w:szCs w:val="18"/>
        </w:rPr>
        <w:t>III – subsídios para a montagem do plano de licitação, compreendendo a sua programação, a estrat</w:t>
      </w:r>
      <w:r w:rsidRPr="00F05F04">
        <w:rPr>
          <w:rFonts w:ascii="Bookman Old Style" w:hAnsi="Bookman Old Style"/>
          <w:color w:val="000000"/>
          <w:sz w:val="18"/>
          <w:szCs w:val="18"/>
        </w:rPr>
        <w:t>é</w:t>
      </w:r>
      <w:r w:rsidRPr="00F05F04">
        <w:rPr>
          <w:rFonts w:ascii="Bookman Old Style" w:hAnsi="Bookman Old Style"/>
          <w:color w:val="000000"/>
          <w:sz w:val="18"/>
          <w:szCs w:val="18"/>
        </w:rPr>
        <w:t>gia de suprimentos, as normas de fiscalização e outros dados necessários em cada caso.</w:t>
      </w:r>
    </w:p>
    <w:p w14:paraId="64542D67" w14:textId="77777777" w:rsidR="00287F52" w:rsidRPr="00F05F04" w:rsidRDefault="00287F52" w:rsidP="00287F52">
      <w:pPr>
        <w:spacing w:after="8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F05F04">
        <w:rPr>
          <w:rFonts w:ascii="Bookman Old Style" w:hAnsi="Bookman Old Style"/>
          <w:b/>
          <w:bCs/>
          <w:color w:val="000000"/>
          <w:sz w:val="18"/>
          <w:szCs w:val="18"/>
        </w:rPr>
        <w:t>Art. 2</w:t>
      </w:r>
      <w:r w:rsidRPr="00F05F04">
        <w:rPr>
          <w:rFonts w:ascii="Bookman Old Style" w:hAnsi="Bookman Old Style"/>
          <w:color w:val="000000"/>
          <w:sz w:val="18"/>
          <w:szCs w:val="18"/>
        </w:rPr>
        <w:t>º A aprovação dos projetos básicos de obras e serviços de engenharia e arquitetura e de suas eventuais complementações e detalhamentos será motivada com a indicação dos elementos em que a autoridade competente tiver se baseado para concluir que foram preenchidos integralmente os fins e requisitos indicados no art. 6º, XXV, da lei nº 14.133/2021.</w:t>
      </w:r>
    </w:p>
    <w:p w14:paraId="0C5EAB67" w14:textId="77777777" w:rsidR="00287F52" w:rsidRPr="00F05F04" w:rsidRDefault="00287F52" w:rsidP="00287F52">
      <w:pPr>
        <w:spacing w:after="8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F05F04">
        <w:rPr>
          <w:rFonts w:ascii="Bookman Old Style" w:hAnsi="Bookman Old Style"/>
          <w:b/>
          <w:bCs/>
          <w:color w:val="000000"/>
          <w:sz w:val="18"/>
          <w:szCs w:val="18"/>
        </w:rPr>
        <w:t>Art. 3</w:t>
      </w:r>
      <w:r w:rsidRPr="00F05F04">
        <w:rPr>
          <w:rFonts w:ascii="Bookman Old Style" w:hAnsi="Bookman Old Style"/>
          <w:color w:val="000000"/>
          <w:sz w:val="18"/>
          <w:szCs w:val="18"/>
        </w:rPr>
        <w:t xml:space="preserve">º </w:t>
      </w:r>
      <w:r w:rsidRPr="00F05F04">
        <w:rPr>
          <w:rFonts w:ascii="Bookman Old Style" w:eastAsia="Times New Roman" w:hAnsi="Bookman Old Style" w:cs="Arial"/>
          <w:color w:val="000000"/>
          <w:sz w:val="18"/>
          <w:szCs w:val="18"/>
          <w:lang w:eastAsia="pt-BR"/>
        </w:rPr>
        <w:t xml:space="preserve">Este Decreto entra em vigor na data da sua publicação. </w:t>
      </w:r>
    </w:p>
    <w:p w14:paraId="26E23FDF" w14:textId="35D965BF" w:rsidR="00287F52" w:rsidRPr="00F05F04" w:rsidRDefault="00287F52" w:rsidP="003E5528">
      <w:pPr>
        <w:spacing w:after="80" w:line="360" w:lineRule="auto"/>
        <w:jc w:val="right"/>
        <w:rPr>
          <w:rFonts w:ascii="Bookman Old Style" w:hAnsi="Bookman Old Style"/>
          <w:color w:val="000000"/>
          <w:sz w:val="18"/>
          <w:szCs w:val="18"/>
        </w:rPr>
      </w:pPr>
      <w:r w:rsidRPr="00F05F04">
        <w:rPr>
          <w:rFonts w:ascii="Bookman Old Style" w:eastAsia="Times New Roman" w:hAnsi="Bookman Old Style" w:cs="Arial"/>
          <w:color w:val="000000"/>
          <w:sz w:val="18"/>
          <w:szCs w:val="18"/>
          <w:shd w:val="clear" w:color="auto" w:fill="FFFFFF"/>
          <w:lang w:eastAsia="pt-BR"/>
        </w:rPr>
        <w:t xml:space="preserve">Santa Amélia/PR, </w:t>
      </w:r>
      <w:r w:rsidR="003E5528">
        <w:rPr>
          <w:rFonts w:ascii="Bookman Old Style" w:eastAsia="Times New Roman" w:hAnsi="Bookman Old Style" w:cs="Arial"/>
          <w:color w:val="000000"/>
          <w:sz w:val="18"/>
          <w:szCs w:val="18"/>
          <w:lang w:eastAsia="pt-BR"/>
        </w:rPr>
        <w:t>29</w:t>
      </w:r>
      <w:r w:rsidRPr="00F05F04">
        <w:rPr>
          <w:rFonts w:ascii="Bookman Old Style" w:eastAsia="Times New Roman" w:hAnsi="Bookman Old Style" w:cs="Arial"/>
          <w:color w:val="000000"/>
          <w:sz w:val="18"/>
          <w:szCs w:val="18"/>
          <w:lang w:eastAsia="pt-BR"/>
        </w:rPr>
        <w:t xml:space="preserve"> de dezembro de 2023.</w:t>
      </w:r>
    </w:p>
    <w:p w14:paraId="50B9235B" w14:textId="77777777" w:rsidR="00287F52" w:rsidRPr="00F05F04" w:rsidRDefault="00287F52" w:rsidP="00287F52">
      <w:pPr>
        <w:spacing w:after="80" w:line="360" w:lineRule="auto"/>
        <w:rPr>
          <w:rFonts w:ascii="Bookman Old Style" w:eastAsia="Times New Roman" w:hAnsi="Bookman Old Style"/>
          <w:sz w:val="18"/>
          <w:szCs w:val="18"/>
          <w:lang w:eastAsia="pt-BR"/>
        </w:rPr>
      </w:pPr>
      <w:bookmarkStart w:id="0" w:name="_GoBack"/>
      <w:bookmarkEnd w:id="0"/>
    </w:p>
    <w:p w14:paraId="698E2FA0" w14:textId="77777777" w:rsidR="00287F52" w:rsidRPr="00F05F04" w:rsidRDefault="00287F52" w:rsidP="00287F52">
      <w:pPr>
        <w:spacing w:after="80" w:line="360" w:lineRule="auto"/>
        <w:rPr>
          <w:rFonts w:ascii="Bookman Old Style" w:eastAsia="Times New Roman" w:hAnsi="Bookman Old Style"/>
          <w:sz w:val="18"/>
          <w:szCs w:val="18"/>
          <w:lang w:eastAsia="pt-BR"/>
        </w:rPr>
      </w:pPr>
    </w:p>
    <w:p w14:paraId="0EC5F79A" w14:textId="77777777" w:rsidR="00287F52" w:rsidRPr="00F05F04" w:rsidRDefault="00287F52" w:rsidP="003E5528">
      <w:pPr>
        <w:spacing w:after="80" w:line="360" w:lineRule="auto"/>
        <w:jc w:val="center"/>
        <w:rPr>
          <w:rFonts w:ascii="Bookman Old Style" w:eastAsia="Times New Roman" w:hAnsi="Bookman Old Style"/>
          <w:sz w:val="18"/>
          <w:szCs w:val="18"/>
          <w:lang w:eastAsia="pt-BR"/>
        </w:rPr>
      </w:pPr>
      <w:r w:rsidRPr="00F05F04">
        <w:rPr>
          <w:rFonts w:ascii="Bookman Old Style" w:eastAsia="Times New Roman" w:hAnsi="Bookman Old Style" w:cs="Arial"/>
          <w:b/>
          <w:bCs/>
          <w:color w:val="000000"/>
          <w:sz w:val="18"/>
          <w:szCs w:val="18"/>
          <w:lang w:eastAsia="pt-BR"/>
        </w:rPr>
        <w:t>ANTONIO CARLOS TAMAIS</w:t>
      </w:r>
    </w:p>
    <w:p w14:paraId="5BB886B1" w14:textId="77777777" w:rsidR="00287F52" w:rsidRPr="00F05F04" w:rsidRDefault="00287F52" w:rsidP="003E5528">
      <w:pPr>
        <w:spacing w:after="80" w:line="360" w:lineRule="auto"/>
        <w:jc w:val="center"/>
        <w:rPr>
          <w:rFonts w:ascii="Bookman Old Style" w:hAnsi="Bookman Old Style"/>
          <w:sz w:val="18"/>
          <w:szCs w:val="18"/>
        </w:rPr>
      </w:pPr>
      <w:r w:rsidRPr="00F05F04">
        <w:rPr>
          <w:rFonts w:ascii="Bookman Old Style" w:eastAsia="Times New Roman" w:hAnsi="Bookman Old Style" w:cs="Arial"/>
          <w:color w:val="000000"/>
          <w:sz w:val="18"/>
          <w:szCs w:val="18"/>
          <w:lang w:eastAsia="pt-BR"/>
        </w:rPr>
        <w:t>Prefeito Municipal</w:t>
      </w:r>
    </w:p>
    <w:p w14:paraId="581D5576" w14:textId="77777777" w:rsidR="00115574" w:rsidRDefault="00115574" w:rsidP="00287F52">
      <w:pPr>
        <w:spacing w:after="80" w:line="360" w:lineRule="auto"/>
        <w:jc w:val="center"/>
        <w:rPr>
          <w:rFonts w:ascii="Bookman Old Style" w:hAnsi="Bookman Old Style"/>
          <w:b/>
          <w:bCs/>
          <w:color w:val="000000"/>
          <w:sz w:val="18"/>
          <w:szCs w:val="18"/>
        </w:rPr>
      </w:pPr>
    </w:p>
    <w:p w14:paraId="51141389" w14:textId="674834C5" w:rsidR="00287F52" w:rsidRPr="00F05F04" w:rsidRDefault="00287F52" w:rsidP="00287F52">
      <w:pPr>
        <w:spacing w:after="80" w:line="360" w:lineRule="auto"/>
        <w:jc w:val="center"/>
        <w:rPr>
          <w:rFonts w:ascii="Bookman Old Style" w:hAnsi="Bookman Old Style"/>
          <w:b/>
          <w:bCs/>
          <w:color w:val="000000"/>
          <w:sz w:val="18"/>
          <w:szCs w:val="18"/>
        </w:rPr>
      </w:pPr>
      <w:r w:rsidRPr="00F05F04">
        <w:rPr>
          <w:rFonts w:ascii="Bookman Old Style" w:hAnsi="Bookman Old Style"/>
          <w:b/>
          <w:bCs/>
          <w:color w:val="000000"/>
          <w:sz w:val="18"/>
          <w:szCs w:val="18"/>
        </w:rPr>
        <w:lastRenderedPageBreak/>
        <w:t>ANEXO I</w:t>
      </w:r>
    </w:p>
    <w:p w14:paraId="0A3E4371" w14:textId="77777777" w:rsidR="00287F52" w:rsidRPr="00F05F04" w:rsidRDefault="00287F52" w:rsidP="00287F52">
      <w:pPr>
        <w:spacing w:after="80" w:line="360" w:lineRule="auto"/>
        <w:jc w:val="center"/>
        <w:rPr>
          <w:rFonts w:ascii="Bookman Old Style" w:hAnsi="Bookman Old Style"/>
          <w:b/>
          <w:bCs/>
          <w:color w:val="000000"/>
          <w:sz w:val="18"/>
          <w:szCs w:val="18"/>
        </w:rPr>
      </w:pPr>
      <w:r w:rsidRPr="00F05F04">
        <w:rPr>
          <w:rFonts w:ascii="Bookman Old Style" w:hAnsi="Bookman Old Style"/>
          <w:b/>
          <w:bCs/>
          <w:color w:val="000000"/>
          <w:sz w:val="18"/>
          <w:szCs w:val="18"/>
        </w:rPr>
        <w:t xml:space="preserve">ASPECTOS DO PROJETO BÁSICO QUE DEVEM SER ANALISADOS </w:t>
      </w:r>
      <w:r>
        <w:rPr>
          <w:rFonts w:ascii="Bookman Old Style" w:hAnsi="Bookman Old Style"/>
          <w:b/>
          <w:bCs/>
          <w:color w:val="000000"/>
          <w:sz w:val="18"/>
          <w:szCs w:val="18"/>
        </w:rPr>
        <w:t>EM</w:t>
      </w:r>
      <w:r w:rsidRPr="00F05F04">
        <w:rPr>
          <w:rFonts w:ascii="Bookman Old Style" w:hAnsi="Bookman Old Style"/>
          <w:b/>
          <w:bCs/>
          <w:color w:val="000000"/>
          <w:sz w:val="18"/>
          <w:szCs w:val="18"/>
        </w:rPr>
        <w:t xml:space="preserve"> NOTAS EXPLICATIVAS:</w:t>
      </w:r>
    </w:p>
    <w:p w14:paraId="11AE0345" w14:textId="77777777" w:rsidR="00287F52" w:rsidRDefault="00287F52" w:rsidP="00287F52">
      <w:pPr>
        <w:spacing w:after="80" w:line="360" w:lineRule="auto"/>
        <w:rPr>
          <w:rFonts w:ascii="Bookman Old Style" w:hAnsi="Bookman Old Style"/>
          <w:color w:val="000000"/>
          <w:sz w:val="18"/>
          <w:szCs w:val="18"/>
        </w:rPr>
      </w:pPr>
    </w:p>
    <w:p w14:paraId="5BC030E7" w14:textId="77777777" w:rsidR="00287F52" w:rsidRPr="00F05F04" w:rsidRDefault="00287F52" w:rsidP="00287F52">
      <w:pPr>
        <w:spacing w:after="8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F05F04">
        <w:rPr>
          <w:rFonts w:ascii="Bookman Old Style" w:hAnsi="Bookman Old Style"/>
          <w:color w:val="000000"/>
          <w:sz w:val="18"/>
          <w:szCs w:val="18"/>
        </w:rPr>
        <w:t>1. Elementos constitutivos, natureza e localização da obra ou serviço;</w:t>
      </w:r>
    </w:p>
    <w:p w14:paraId="7720E8A7" w14:textId="77777777" w:rsidR="00287F52" w:rsidRPr="00F05F04" w:rsidRDefault="00287F52" w:rsidP="00287F52">
      <w:pPr>
        <w:spacing w:after="8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F05F04">
        <w:rPr>
          <w:rFonts w:ascii="Bookman Old Style" w:hAnsi="Bookman Old Style"/>
          <w:color w:val="000000"/>
          <w:sz w:val="18"/>
          <w:szCs w:val="18"/>
        </w:rPr>
        <w:t>2. Funcionalidade, adequação ao interesse público, segurança e durabilidade;</w:t>
      </w:r>
    </w:p>
    <w:p w14:paraId="448A4D99" w14:textId="77777777" w:rsidR="00287F52" w:rsidRPr="00F05F04" w:rsidRDefault="00287F52" w:rsidP="00287F52">
      <w:pPr>
        <w:spacing w:after="8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F05F04">
        <w:rPr>
          <w:rFonts w:ascii="Bookman Old Style" w:hAnsi="Bookman Old Style"/>
          <w:color w:val="000000"/>
          <w:sz w:val="18"/>
          <w:szCs w:val="18"/>
        </w:rPr>
        <w:t>3. Economia na execução, conservação e operação;</w:t>
      </w:r>
    </w:p>
    <w:p w14:paraId="08CFB509" w14:textId="77777777" w:rsidR="00287F52" w:rsidRPr="00F05F04" w:rsidRDefault="00287F52" w:rsidP="00287F52">
      <w:pPr>
        <w:spacing w:after="8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F05F04">
        <w:rPr>
          <w:rFonts w:ascii="Bookman Old Style" w:hAnsi="Bookman Old Style"/>
          <w:color w:val="000000"/>
          <w:sz w:val="18"/>
          <w:szCs w:val="18"/>
        </w:rPr>
        <w:t>4. Tipos e quantitativos de:</w:t>
      </w:r>
    </w:p>
    <w:p w14:paraId="2360D491" w14:textId="77777777" w:rsidR="00287F52" w:rsidRPr="00F05F04" w:rsidRDefault="00287F52" w:rsidP="00287F52">
      <w:pPr>
        <w:spacing w:after="8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F05F04">
        <w:rPr>
          <w:rFonts w:ascii="Bookman Old Style" w:hAnsi="Bookman Old Style"/>
          <w:color w:val="000000"/>
          <w:sz w:val="18"/>
          <w:szCs w:val="18"/>
        </w:rPr>
        <w:t>a) serviços a executar;</w:t>
      </w:r>
    </w:p>
    <w:p w14:paraId="54C77E4A" w14:textId="77777777" w:rsidR="00287F52" w:rsidRPr="00F05F04" w:rsidRDefault="00287F52" w:rsidP="00287F52">
      <w:pPr>
        <w:spacing w:after="8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F05F04">
        <w:rPr>
          <w:rFonts w:ascii="Bookman Old Style" w:hAnsi="Bookman Old Style"/>
          <w:color w:val="000000"/>
          <w:sz w:val="18"/>
          <w:szCs w:val="18"/>
        </w:rPr>
        <w:t>b) mão-de-obra;</w:t>
      </w:r>
    </w:p>
    <w:p w14:paraId="0444BEE5" w14:textId="77777777" w:rsidR="00287F52" w:rsidRPr="00F05F04" w:rsidRDefault="00287F52" w:rsidP="00287F52">
      <w:pPr>
        <w:spacing w:after="8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F05F04">
        <w:rPr>
          <w:rFonts w:ascii="Bookman Old Style" w:hAnsi="Bookman Old Style"/>
          <w:color w:val="000000"/>
          <w:sz w:val="18"/>
          <w:szCs w:val="18"/>
        </w:rPr>
        <w:t>c) materiais, matérias-primas e equipamentos necessários;</w:t>
      </w:r>
    </w:p>
    <w:p w14:paraId="5C5BFAC8" w14:textId="77777777" w:rsidR="00287F52" w:rsidRPr="00F05F04" w:rsidRDefault="00287F52" w:rsidP="00287F52">
      <w:pPr>
        <w:spacing w:after="8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F05F04">
        <w:rPr>
          <w:rFonts w:ascii="Bookman Old Style" w:hAnsi="Bookman Old Style"/>
          <w:color w:val="000000"/>
          <w:sz w:val="18"/>
          <w:szCs w:val="18"/>
        </w:rPr>
        <w:t>5. Soluções técnicas e variantes admissíveis quanto à tecnologia, materiais, matérias-primas,</w:t>
      </w:r>
      <w:r w:rsidRPr="00F05F04">
        <w:rPr>
          <w:rFonts w:ascii="Bookman Old Style" w:hAnsi="Bookman Old Style"/>
          <w:color w:val="000000"/>
          <w:sz w:val="18"/>
          <w:szCs w:val="18"/>
        </w:rPr>
        <w:br/>
        <w:t>equipamentos, métodos construtivos e de execução;</w:t>
      </w:r>
    </w:p>
    <w:p w14:paraId="4FB0AF36" w14:textId="77777777" w:rsidR="00287F52" w:rsidRPr="00F05F04" w:rsidRDefault="00287F52" w:rsidP="00287F52">
      <w:pPr>
        <w:spacing w:after="8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F05F04">
        <w:rPr>
          <w:rFonts w:ascii="Bookman Old Style" w:hAnsi="Bookman Old Style"/>
          <w:color w:val="000000"/>
          <w:sz w:val="18"/>
          <w:szCs w:val="18"/>
        </w:rPr>
        <w:t>6. Possibilidade de execução, conservação e operação com o emprego de mão-de-obra, materiais,</w:t>
      </w:r>
      <w:r w:rsidRPr="00F05F04">
        <w:rPr>
          <w:rFonts w:ascii="Bookman Old Style" w:hAnsi="Bookman Old Style"/>
          <w:color w:val="000000"/>
          <w:sz w:val="18"/>
          <w:szCs w:val="18"/>
        </w:rPr>
        <w:br/>
        <w:t>tecnologia e matérias-primas existentes no local da obra;</w:t>
      </w:r>
    </w:p>
    <w:p w14:paraId="483E7B51" w14:textId="77777777" w:rsidR="00287F52" w:rsidRPr="00F05F04" w:rsidRDefault="00287F52" w:rsidP="00287F52">
      <w:pPr>
        <w:spacing w:after="8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F05F04">
        <w:rPr>
          <w:rFonts w:ascii="Bookman Old Style" w:hAnsi="Bookman Old Style"/>
          <w:color w:val="000000"/>
          <w:sz w:val="18"/>
          <w:szCs w:val="18"/>
        </w:rPr>
        <w:t>7. Facilidade na execução, conservação e operação, sem prejuízo da durabilidade e segurança da</w:t>
      </w:r>
      <w:r w:rsidRPr="00F05F04">
        <w:rPr>
          <w:rFonts w:ascii="Bookman Old Style" w:hAnsi="Bookman Old Style"/>
          <w:color w:val="000000"/>
          <w:sz w:val="18"/>
          <w:szCs w:val="18"/>
        </w:rPr>
        <w:br/>
        <w:t>obra;</w:t>
      </w:r>
    </w:p>
    <w:p w14:paraId="200D9DF5" w14:textId="77777777" w:rsidR="00287F52" w:rsidRPr="00F05F04" w:rsidRDefault="00287F52" w:rsidP="00287F52">
      <w:pPr>
        <w:spacing w:after="8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F05F04">
        <w:rPr>
          <w:rFonts w:ascii="Bookman Old Style" w:hAnsi="Bookman Old Style"/>
          <w:color w:val="000000"/>
          <w:sz w:val="18"/>
          <w:szCs w:val="18"/>
        </w:rPr>
        <w:t>8. Normas técnicas, de saúde e de segurança do trabalho que deverão ser adotadas;</w:t>
      </w:r>
    </w:p>
    <w:p w14:paraId="45717714" w14:textId="77777777" w:rsidR="00287F52" w:rsidRPr="00F05F04" w:rsidRDefault="00287F52" w:rsidP="00287F52">
      <w:pPr>
        <w:spacing w:after="8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F05F04">
        <w:rPr>
          <w:rFonts w:ascii="Bookman Old Style" w:hAnsi="Bookman Old Style"/>
          <w:color w:val="000000"/>
          <w:sz w:val="18"/>
          <w:szCs w:val="18"/>
        </w:rPr>
        <w:t>9. Impacto ambiental, ou sobre bem integrante do patrimônio histórico-cultural, com a especificação, caso exista, do problema que houver, da solução técnica, do custo para adotá-la, do prazo de execução e das providências necessárias para o licenciamento;</w:t>
      </w:r>
    </w:p>
    <w:p w14:paraId="2CF20126" w14:textId="77777777" w:rsidR="00287F52" w:rsidRDefault="00287F52" w:rsidP="00287F52">
      <w:pPr>
        <w:spacing w:after="8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F05F04">
        <w:rPr>
          <w:rFonts w:ascii="Bookman Old Style" w:hAnsi="Bookman Old Style"/>
          <w:color w:val="000000"/>
          <w:sz w:val="18"/>
          <w:szCs w:val="18"/>
        </w:rPr>
        <w:t>10. Custo provável da obra.</w:t>
      </w:r>
    </w:p>
    <w:p w14:paraId="5B22E233" w14:textId="77777777" w:rsidR="00287F52" w:rsidRPr="00F05F04" w:rsidRDefault="00287F52" w:rsidP="00287F52">
      <w:pPr>
        <w:spacing w:after="80" w:line="360" w:lineRule="auto"/>
        <w:rPr>
          <w:rFonts w:ascii="Bookman Old Style" w:hAnsi="Bookman Old Style"/>
          <w:color w:val="000000"/>
          <w:sz w:val="18"/>
          <w:szCs w:val="18"/>
        </w:rPr>
      </w:pPr>
    </w:p>
    <w:p w14:paraId="644C9EBC" w14:textId="77777777" w:rsidR="00287F52" w:rsidRPr="00F05F04" w:rsidRDefault="00287F52" w:rsidP="00287F52">
      <w:pPr>
        <w:spacing w:after="80" w:line="360" w:lineRule="auto"/>
        <w:jc w:val="center"/>
        <w:rPr>
          <w:rFonts w:ascii="Bookman Old Style" w:hAnsi="Bookman Old Style"/>
          <w:b/>
          <w:bCs/>
          <w:color w:val="000000"/>
          <w:sz w:val="18"/>
          <w:szCs w:val="18"/>
        </w:rPr>
      </w:pPr>
      <w:r w:rsidRPr="00F05F04">
        <w:rPr>
          <w:rFonts w:ascii="Bookman Old Style" w:hAnsi="Bookman Old Style"/>
          <w:b/>
          <w:bCs/>
          <w:color w:val="000000"/>
          <w:sz w:val="18"/>
          <w:szCs w:val="18"/>
        </w:rPr>
        <w:t>ANEXO II</w:t>
      </w:r>
    </w:p>
    <w:p w14:paraId="6A7274D3" w14:textId="77777777" w:rsidR="00287F52" w:rsidRDefault="00287F52" w:rsidP="00287F52">
      <w:pPr>
        <w:spacing w:after="80" w:line="360" w:lineRule="auto"/>
        <w:jc w:val="center"/>
        <w:rPr>
          <w:rFonts w:ascii="Bookman Old Style" w:hAnsi="Bookman Old Style"/>
          <w:b/>
          <w:bCs/>
          <w:color w:val="000000"/>
          <w:sz w:val="18"/>
          <w:szCs w:val="18"/>
        </w:rPr>
      </w:pPr>
      <w:r w:rsidRPr="00F05F04">
        <w:rPr>
          <w:rFonts w:ascii="Bookman Old Style" w:hAnsi="Bookman Old Style"/>
          <w:b/>
          <w:bCs/>
          <w:color w:val="000000"/>
          <w:sz w:val="18"/>
          <w:szCs w:val="18"/>
        </w:rPr>
        <w:t xml:space="preserve">DIRETRIZES PARA AS INFORMAÇÕES E </w:t>
      </w:r>
    </w:p>
    <w:p w14:paraId="43F8BD63" w14:textId="77777777" w:rsidR="00287F52" w:rsidRPr="00F05F04" w:rsidRDefault="00287F52" w:rsidP="00287F52">
      <w:pPr>
        <w:spacing w:after="80" w:line="360" w:lineRule="auto"/>
        <w:jc w:val="center"/>
        <w:rPr>
          <w:rFonts w:ascii="Bookman Old Style" w:hAnsi="Bookman Old Style"/>
          <w:b/>
          <w:bCs/>
          <w:color w:val="000000"/>
          <w:sz w:val="18"/>
          <w:szCs w:val="18"/>
        </w:rPr>
      </w:pPr>
      <w:r w:rsidRPr="00F05F04">
        <w:rPr>
          <w:rFonts w:ascii="Bookman Old Style" w:hAnsi="Bookman Old Style"/>
          <w:b/>
          <w:bCs/>
          <w:color w:val="000000"/>
          <w:sz w:val="18"/>
          <w:szCs w:val="18"/>
        </w:rPr>
        <w:t>DOCUMENTOS QUE DEVEM ACOMPANHAR O</w:t>
      </w:r>
      <w:r>
        <w:rPr>
          <w:rFonts w:ascii="Bookman Old Style" w:hAnsi="Bookman Old Style"/>
          <w:b/>
          <w:bCs/>
          <w:color w:val="000000"/>
          <w:sz w:val="18"/>
          <w:szCs w:val="18"/>
        </w:rPr>
        <w:t xml:space="preserve"> </w:t>
      </w:r>
      <w:r w:rsidRPr="00F05F04">
        <w:rPr>
          <w:rFonts w:ascii="Bookman Old Style" w:hAnsi="Bookman Old Style"/>
          <w:b/>
          <w:bCs/>
          <w:color w:val="000000"/>
          <w:sz w:val="18"/>
          <w:szCs w:val="18"/>
        </w:rPr>
        <w:t>PROJETO BÁSICO</w:t>
      </w:r>
    </w:p>
    <w:p w14:paraId="388646AC" w14:textId="77777777" w:rsidR="00287F52" w:rsidRDefault="00287F52" w:rsidP="00287F52">
      <w:pPr>
        <w:spacing w:after="8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F05F04">
        <w:rPr>
          <w:rFonts w:ascii="Bookman Old Style" w:hAnsi="Bookman Old Style"/>
          <w:color w:val="000000"/>
          <w:sz w:val="18"/>
          <w:szCs w:val="18"/>
        </w:rPr>
        <w:t>1. Os projetos básicos devem ser acompanhados de informações e documentos que permitam a perfe</w:t>
      </w:r>
      <w:r w:rsidRPr="00F05F04">
        <w:rPr>
          <w:rFonts w:ascii="Bookman Old Style" w:hAnsi="Bookman Old Style"/>
          <w:color w:val="000000"/>
          <w:sz w:val="18"/>
          <w:szCs w:val="18"/>
        </w:rPr>
        <w:t>i</w:t>
      </w:r>
      <w:r w:rsidRPr="00F05F04">
        <w:rPr>
          <w:rFonts w:ascii="Bookman Old Style" w:hAnsi="Bookman Old Style"/>
          <w:color w:val="000000"/>
          <w:sz w:val="18"/>
          <w:szCs w:val="18"/>
        </w:rPr>
        <w:t>ta identificação do objeto a ser contratado e a avaliação do seu custo, especialmente:</w:t>
      </w:r>
    </w:p>
    <w:p w14:paraId="125207CF" w14:textId="77777777" w:rsidR="00287F52" w:rsidRDefault="00287F52" w:rsidP="00287F52">
      <w:pPr>
        <w:spacing w:after="8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F05F04">
        <w:rPr>
          <w:rFonts w:ascii="Bookman Old Style" w:hAnsi="Bookman Old Style"/>
          <w:color w:val="000000"/>
          <w:sz w:val="18"/>
          <w:szCs w:val="18"/>
        </w:rPr>
        <w:t>a) Os elementos gráficos referentes a todas as disciplinas;</w:t>
      </w:r>
    </w:p>
    <w:p w14:paraId="70024313" w14:textId="77777777" w:rsidR="00287F52" w:rsidRDefault="00287F52" w:rsidP="00287F52">
      <w:pPr>
        <w:spacing w:after="8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F05F04">
        <w:rPr>
          <w:rFonts w:ascii="Bookman Old Style" w:hAnsi="Bookman Old Style"/>
          <w:color w:val="000000"/>
          <w:sz w:val="18"/>
          <w:szCs w:val="18"/>
        </w:rPr>
        <w:t>b) Os estudos de viabilidade técnica e ambiental;</w:t>
      </w:r>
    </w:p>
    <w:p w14:paraId="21D4168E" w14:textId="77777777" w:rsidR="00287F52" w:rsidRDefault="00287F52" w:rsidP="00287F52">
      <w:pPr>
        <w:spacing w:after="8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F05F04">
        <w:rPr>
          <w:rFonts w:ascii="Bookman Old Style" w:hAnsi="Bookman Old Style"/>
          <w:color w:val="000000"/>
          <w:sz w:val="18"/>
          <w:szCs w:val="18"/>
        </w:rPr>
        <w:t>c) A metodologia e cronograma de execução;</w:t>
      </w:r>
    </w:p>
    <w:p w14:paraId="607219BB" w14:textId="77777777" w:rsidR="00287F52" w:rsidRDefault="00287F52" w:rsidP="00287F52">
      <w:pPr>
        <w:spacing w:after="8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F05F04">
        <w:rPr>
          <w:rFonts w:ascii="Bookman Old Style" w:hAnsi="Bookman Old Style"/>
          <w:color w:val="000000"/>
          <w:sz w:val="18"/>
          <w:szCs w:val="18"/>
        </w:rPr>
        <w:t>d) Os memoriais descritivos e especificações técnicas de materiais e serviços;</w:t>
      </w:r>
    </w:p>
    <w:p w14:paraId="1451F41A" w14:textId="77777777" w:rsidR="00287F52" w:rsidRDefault="00287F52" w:rsidP="00287F52">
      <w:pPr>
        <w:spacing w:after="8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F05F04">
        <w:rPr>
          <w:rFonts w:ascii="Bookman Old Style" w:hAnsi="Bookman Old Style"/>
          <w:color w:val="000000"/>
          <w:sz w:val="18"/>
          <w:szCs w:val="18"/>
        </w:rPr>
        <w:t>e) O orçamento das obras e respectivos critérios de medição dos serviços ou das etapas;</w:t>
      </w:r>
    </w:p>
    <w:p w14:paraId="270E42C4" w14:textId="77777777" w:rsidR="00287F52" w:rsidRDefault="00287F52" w:rsidP="00287F52">
      <w:pPr>
        <w:spacing w:after="8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F05F04">
        <w:rPr>
          <w:rFonts w:ascii="Bookman Old Style" w:hAnsi="Bookman Old Style"/>
          <w:color w:val="000000"/>
          <w:sz w:val="18"/>
          <w:szCs w:val="18"/>
        </w:rPr>
        <w:lastRenderedPageBreak/>
        <w:t>2. Os registros da anotação da responsabilidade técnica profissional deverão estar vinculados a cada</w:t>
      </w:r>
      <w:r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F05F04">
        <w:rPr>
          <w:rFonts w:ascii="Bookman Old Style" w:hAnsi="Bookman Old Style"/>
          <w:color w:val="000000"/>
          <w:sz w:val="18"/>
          <w:szCs w:val="18"/>
        </w:rPr>
        <w:t>uma das peças integrantes do Projeto Básico;</w:t>
      </w:r>
    </w:p>
    <w:p w14:paraId="69243151" w14:textId="77777777" w:rsidR="00287F52" w:rsidRDefault="00287F52" w:rsidP="00287F52">
      <w:pPr>
        <w:spacing w:after="8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F05F04">
        <w:rPr>
          <w:rFonts w:ascii="Bookman Old Style" w:hAnsi="Bookman Old Style"/>
          <w:color w:val="000000"/>
          <w:sz w:val="18"/>
          <w:szCs w:val="18"/>
        </w:rPr>
        <w:t>3. São necessárias informações e documentos, com nível de precisão adequado, na seguinte</w:t>
      </w:r>
      <w:r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F05F04">
        <w:rPr>
          <w:rFonts w:ascii="Bookman Old Style" w:hAnsi="Bookman Old Style"/>
          <w:color w:val="000000"/>
          <w:sz w:val="18"/>
          <w:szCs w:val="18"/>
        </w:rPr>
        <w:t>conform</w:t>
      </w:r>
      <w:r w:rsidRPr="00F05F04">
        <w:rPr>
          <w:rFonts w:ascii="Bookman Old Style" w:hAnsi="Bookman Old Style"/>
          <w:color w:val="000000"/>
          <w:sz w:val="18"/>
          <w:szCs w:val="18"/>
        </w:rPr>
        <w:t>i</w:t>
      </w:r>
      <w:r w:rsidRPr="00F05F04">
        <w:rPr>
          <w:rFonts w:ascii="Bookman Old Style" w:hAnsi="Bookman Old Style"/>
          <w:color w:val="000000"/>
          <w:sz w:val="18"/>
          <w:szCs w:val="18"/>
        </w:rPr>
        <w:t>dade:</w:t>
      </w:r>
    </w:p>
    <w:p w14:paraId="2C84E1A5" w14:textId="77777777" w:rsidR="00287F52" w:rsidRDefault="00287F52" w:rsidP="00287F52">
      <w:pPr>
        <w:spacing w:after="8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F05F04">
        <w:rPr>
          <w:rFonts w:ascii="Bookman Old Style" w:hAnsi="Bookman Old Style"/>
          <w:color w:val="000000"/>
          <w:sz w:val="18"/>
          <w:szCs w:val="18"/>
        </w:rPr>
        <w:t>I - Elementos Gráficos:</w:t>
      </w:r>
    </w:p>
    <w:p w14:paraId="00D13C08" w14:textId="77777777" w:rsidR="00287F52" w:rsidRDefault="00287F52" w:rsidP="00287F52">
      <w:pPr>
        <w:spacing w:after="8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F05F04">
        <w:rPr>
          <w:rFonts w:ascii="Bookman Old Style" w:hAnsi="Bookman Old Style"/>
          <w:color w:val="000000"/>
          <w:sz w:val="18"/>
          <w:szCs w:val="18"/>
        </w:rPr>
        <w:t>a) Arquitetura: Plantas, Cortes e Elevações e, para o caso de obras de instalação predial,</w:t>
      </w:r>
      <w:r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F05F04">
        <w:rPr>
          <w:rFonts w:ascii="Bookman Old Style" w:hAnsi="Bookman Old Style"/>
          <w:color w:val="000000"/>
          <w:sz w:val="18"/>
          <w:szCs w:val="18"/>
        </w:rPr>
        <w:t>Fechamentos, sempre com informações necessárias e suficientes para a compreensão do projeto;</w:t>
      </w:r>
    </w:p>
    <w:p w14:paraId="75F89E26" w14:textId="77777777" w:rsidR="00287F52" w:rsidRDefault="00287F52" w:rsidP="00287F52">
      <w:pPr>
        <w:spacing w:after="8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F05F04">
        <w:rPr>
          <w:rFonts w:ascii="Bookman Old Style" w:hAnsi="Bookman Old Style"/>
          <w:color w:val="000000"/>
          <w:sz w:val="18"/>
          <w:szCs w:val="18"/>
        </w:rPr>
        <w:t>b) Fundações: Indicação do tipo de fundação adequado mediante parecer técnico baseado em</w:t>
      </w:r>
      <w:r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F05F04">
        <w:rPr>
          <w:rFonts w:ascii="Bookman Old Style" w:hAnsi="Bookman Old Style"/>
          <w:color w:val="000000"/>
          <w:sz w:val="18"/>
          <w:szCs w:val="18"/>
        </w:rPr>
        <w:t>sond</w:t>
      </w:r>
      <w:r w:rsidRPr="00F05F04">
        <w:rPr>
          <w:rFonts w:ascii="Bookman Old Style" w:hAnsi="Bookman Old Style"/>
          <w:color w:val="000000"/>
          <w:sz w:val="18"/>
          <w:szCs w:val="18"/>
        </w:rPr>
        <w:t>a</w:t>
      </w:r>
      <w:r w:rsidRPr="00F05F04">
        <w:rPr>
          <w:rFonts w:ascii="Bookman Old Style" w:hAnsi="Bookman Old Style"/>
          <w:color w:val="000000"/>
          <w:sz w:val="18"/>
          <w:szCs w:val="18"/>
        </w:rPr>
        <w:t>gens geológicas do terreno;</w:t>
      </w:r>
    </w:p>
    <w:p w14:paraId="5DD80E31" w14:textId="77777777" w:rsidR="00287F52" w:rsidRDefault="00287F52" w:rsidP="00287F52">
      <w:pPr>
        <w:spacing w:after="8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F05F04">
        <w:rPr>
          <w:rFonts w:ascii="Bookman Old Style" w:hAnsi="Bookman Old Style"/>
          <w:color w:val="000000"/>
          <w:sz w:val="18"/>
          <w:szCs w:val="18"/>
        </w:rPr>
        <w:t>c) Estrutura: Definição do sistema construtivo e pré-dimensionamento dos elementos estruturais;</w:t>
      </w:r>
    </w:p>
    <w:p w14:paraId="44A552E1" w14:textId="77777777" w:rsidR="00287F52" w:rsidRDefault="00287F52" w:rsidP="00287F52">
      <w:pPr>
        <w:spacing w:after="8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F05F04">
        <w:rPr>
          <w:rFonts w:ascii="Bookman Old Style" w:hAnsi="Bookman Old Style"/>
          <w:color w:val="000000"/>
          <w:sz w:val="18"/>
          <w:szCs w:val="18"/>
        </w:rPr>
        <w:t>d) Instalações hidráulicas, elétricas e complementares integrantes do projeto (ar condicionado,</w:t>
      </w:r>
      <w:r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F05F04">
        <w:rPr>
          <w:rFonts w:ascii="Bookman Old Style" w:hAnsi="Bookman Old Style"/>
          <w:color w:val="000000"/>
          <w:sz w:val="18"/>
          <w:szCs w:val="18"/>
        </w:rPr>
        <w:t>aut</w:t>
      </w:r>
      <w:r w:rsidRPr="00F05F04">
        <w:rPr>
          <w:rFonts w:ascii="Bookman Old Style" w:hAnsi="Bookman Old Style"/>
          <w:color w:val="000000"/>
          <w:sz w:val="18"/>
          <w:szCs w:val="18"/>
        </w:rPr>
        <w:t>o</w:t>
      </w:r>
      <w:r w:rsidRPr="00F05F04">
        <w:rPr>
          <w:rFonts w:ascii="Bookman Old Style" w:hAnsi="Bookman Old Style"/>
          <w:color w:val="000000"/>
          <w:sz w:val="18"/>
          <w:szCs w:val="18"/>
        </w:rPr>
        <w:t>mação, sistemas eletrônicos e utilidades) - Concepção dos sistemas em plantas;</w:t>
      </w:r>
    </w:p>
    <w:p w14:paraId="15695CDB" w14:textId="77777777" w:rsidR="00287F52" w:rsidRDefault="00287F52" w:rsidP="00287F52">
      <w:pPr>
        <w:spacing w:after="8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F05F04">
        <w:rPr>
          <w:rFonts w:ascii="Bookman Old Style" w:hAnsi="Bookman Old Style"/>
          <w:color w:val="000000"/>
          <w:sz w:val="18"/>
          <w:szCs w:val="18"/>
        </w:rPr>
        <w:t>II - Estudos que assegurem a viabilidade técnica e ambiental do empreendimento: análise de eventuais</w:t>
      </w:r>
      <w:r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F05F04">
        <w:rPr>
          <w:rFonts w:ascii="Bookman Old Style" w:hAnsi="Bookman Old Style"/>
          <w:color w:val="000000"/>
          <w:sz w:val="18"/>
          <w:szCs w:val="18"/>
        </w:rPr>
        <w:t>mitigações e respectivos custos;</w:t>
      </w:r>
    </w:p>
    <w:p w14:paraId="061BEC3E" w14:textId="77777777" w:rsidR="00287F52" w:rsidRDefault="00287F52" w:rsidP="00287F52">
      <w:pPr>
        <w:spacing w:after="8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F05F04">
        <w:rPr>
          <w:rFonts w:ascii="Bookman Old Style" w:hAnsi="Bookman Old Style"/>
          <w:color w:val="000000"/>
          <w:sz w:val="18"/>
          <w:szCs w:val="18"/>
        </w:rPr>
        <w:t>III - Método executivo: Definição da metodologia de execução da obra a ser adotada;</w:t>
      </w:r>
    </w:p>
    <w:p w14:paraId="7842C037" w14:textId="77777777" w:rsidR="00287F52" w:rsidRDefault="00287F52" w:rsidP="00287F52">
      <w:pPr>
        <w:spacing w:after="8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F05F04">
        <w:rPr>
          <w:rFonts w:ascii="Bookman Old Style" w:hAnsi="Bookman Old Style"/>
          <w:color w:val="000000"/>
          <w:sz w:val="18"/>
          <w:szCs w:val="18"/>
        </w:rPr>
        <w:t>IV - Memoriais Descritivos, Especificações Técnicas e Quantitativos: deverão conter a descrição dos</w:t>
      </w:r>
      <w:r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F05F04">
        <w:rPr>
          <w:rFonts w:ascii="Bookman Old Style" w:hAnsi="Bookman Old Style"/>
          <w:color w:val="000000"/>
          <w:sz w:val="18"/>
          <w:szCs w:val="18"/>
        </w:rPr>
        <w:t>serviços a serem executados, especificações técnicas dos materiais utilizados e respectivos</w:t>
      </w:r>
      <w:r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F05F04">
        <w:rPr>
          <w:rFonts w:ascii="Bookman Old Style" w:hAnsi="Bookman Old Style"/>
          <w:color w:val="000000"/>
          <w:sz w:val="18"/>
          <w:szCs w:val="18"/>
        </w:rPr>
        <w:t>quantitat</w:t>
      </w:r>
      <w:r w:rsidRPr="00F05F04">
        <w:rPr>
          <w:rFonts w:ascii="Bookman Old Style" w:hAnsi="Bookman Old Style"/>
          <w:color w:val="000000"/>
          <w:sz w:val="18"/>
          <w:szCs w:val="18"/>
        </w:rPr>
        <w:t>i</w:t>
      </w:r>
      <w:r w:rsidRPr="00F05F04">
        <w:rPr>
          <w:rFonts w:ascii="Bookman Old Style" w:hAnsi="Bookman Old Style"/>
          <w:color w:val="000000"/>
          <w:sz w:val="18"/>
          <w:szCs w:val="18"/>
        </w:rPr>
        <w:t>vos registrados em memórias de cálculo;</w:t>
      </w:r>
      <w:r>
        <w:rPr>
          <w:rFonts w:ascii="Bookman Old Style" w:hAnsi="Bookman Old Style"/>
          <w:color w:val="000000"/>
          <w:sz w:val="18"/>
          <w:szCs w:val="18"/>
        </w:rPr>
        <w:t xml:space="preserve"> </w:t>
      </w:r>
    </w:p>
    <w:p w14:paraId="33D4F8F0" w14:textId="57A262D9" w:rsidR="00287F52" w:rsidRPr="00F05F04" w:rsidRDefault="00287F52" w:rsidP="00287F52">
      <w:pPr>
        <w:spacing w:after="8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F05F04">
        <w:rPr>
          <w:rFonts w:ascii="Bookman Old Style" w:hAnsi="Bookman Old Style"/>
          <w:color w:val="000000"/>
          <w:sz w:val="18"/>
          <w:szCs w:val="18"/>
        </w:rPr>
        <w:t>V - Orçamento e Critério de Medição e Remuneração:</w:t>
      </w:r>
      <w:r>
        <w:rPr>
          <w:rFonts w:ascii="Bookman Old Style" w:hAnsi="Bookman Old Style"/>
          <w:color w:val="000000"/>
          <w:sz w:val="18"/>
          <w:szCs w:val="18"/>
        </w:rPr>
        <w:t xml:space="preserve"> dever</w:t>
      </w:r>
      <w:r w:rsidR="00115574">
        <w:rPr>
          <w:rFonts w:ascii="Bookman Old Style" w:hAnsi="Bookman Old Style"/>
          <w:color w:val="000000"/>
          <w:sz w:val="18"/>
          <w:szCs w:val="18"/>
        </w:rPr>
        <w:t>ão</w:t>
      </w:r>
      <w:r>
        <w:rPr>
          <w:rFonts w:ascii="Bookman Old Style" w:hAnsi="Bookman Old Style"/>
          <w:color w:val="000000"/>
          <w:sz w:val="18"/>
          <w:szCs w:val="18"/>
        </w:rPr>
        <w:t xml:space="preserve"> ser elabora</w:t>
      </w:r>
      <w:r w:rsidR="00115574">
        <w:rPr>
          <w:rFonts w:ascii="Bookman Old Style" w:hAnsi="Bookman Old Style"/>
          <w:color w:val="000000"/>
          <w:sz w:val="18"/>
          <w:szCs w:val="18"/>
        </w:rPr>
        <w:t>dos</w:t>
      </w:r>
      <w:r>
        <w:rPr>
          <w:rFonts w:ascii="Bookman Old Style" w:hAnsi="Bookman Old Style"/>
          <w:color w:val="000000"/>
          <w:sz w:val="18"/>
          <w:szCs w:val="18"/>
        </w:rPr>
        <w:t xml:space="preserve"> de acordo com Decreto Municipal nº 085/2023.</w:t>
      </w:r>
    </w:p>
    <w:p w14:paraId="7ADF5254" w14:textId="77777777" w:rsidR="008241C2" w:rsidRDefault="008241C2"/>
    <w:sectPr w:rsidR="008241C2" w:rsidSect="0042130A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134" w:right="1134" w:bottom="1701" w:left="1701" w:header="567" w:footer="567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77EB2" w14:textId="77777777" w:rsidR="005C2710" w:rsidRDefault="005C2710">
      <w:pPr>
        <w:spacing w:after="0" w:line="240" w:lineRule="auto"/>
      </w:pPr>
      <w:r>
        <w:separator/>
      </w:r>
    </w:p>
  </w:endnote>
  <w:endnote w:type="continuationSeparator" w:id="0">
    <w:p w14:paraId="47AB4425" w14:textId="77777777" w:rsidR="005C2710" w:rsidRDefault="005C2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 Cn BT"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E7F5A" w14:textId="77777777" w:rsidR="00ED5D12" w:rsidRPr="00B60AC6" w:rsidRDefault="00115574" w:rsidP="003F45F7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Book Antiqua" w:hAnsi="Book Antiqua" w:cs="Arial"/>
        <w:b/>
        <w:szCs w:val="24"/>
      </w:rPr>
    </w:pPr>
    <w:r w:rsidRPr="00B60AC6">
      <w:rPr>
        <w:rFonts w:ascii="Book Antiqua" w:hAnsi="Book Antiqua" w:cs="Arial"/>
        <w:b/>
        <w:szCs w:val="24"/>
      </w:rPr>
      <w:t>Rua Alcides Prudente Pavan, n° 130, Centro, CEP 86370</w:t>
    </w:r>
    <w:r>
      <w:rPr>
        <w:rFonts w:ascii="Book Antiqua" w:hAnsi="Book Antiqua" w:cs="Arial"/>
        <w:b/>
        <w:szCs w:val="24"/>
      </w:rPr>
      <w:t>-000, Fone/Fax: (043) 3544-1234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D9769" w14:textId="77777777" w:rsidR="005C2710" w:rsidRDefault="005C2710">
      <w:pPr>
        <w:spacing w:after="0" w:line="240" w:lineRule="auto"/>
      </w:pPr>
      <w:r>
        <w:separator/>
      </w:r>
    </w:p>
  </w:footnote>
  <w:footnote w:type="continuationSeparator" w:id="0">
    <w:p w14:paraId="40BF6662" w14:textId="77777777" w:rsidR="005C2710" w:rsidRDefault="005C2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E2872" w14:textId="77777777" w:rsidR="00750654" w:rsidRDefault="005C2710">
    <w:pPr>
      <w:pStyle w:val="Cabealho"/>
    </w:pPr>
    <w:r>
      <w:rPr>
        <w:noProof/>
        <w:lang w:eastAsia="pt-BR"/>
      </w:rPr>
      <w:pict w14:anchorId="0C5EEB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862282" o:spid="_x0000_s2050" type="#_x0000_t75" style="position:absolute;left:0;text-align:left;margin-left:0;margin-top:0;width:61.75pt;height:84.35pt;z-index:-251656192;mso-position-horizontal:center;mso-position-horizontal-relative:margin;mso-position-vertical:center;mso-position-vertical-relative:margin" o:allowincell="f">
          <v:imagedata r:id="rId1" o:title="brasao3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082AB" w14:textId="77777777" w:rsidR="00ED5D12" w:rsidRDefault="005C2710" w:rsidP="001F04F2">
    <w:pPr>
      <w:pStyle w:val="Legend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="Book Antiqua" w:hAnsi="Book Antiqua"/>
        <w:b/>
        <w:sz w:val="32"/>
        <w:szCs w:val="32"/>
        <w:u w:val="none"/>
      </w:rPr>
    </w:pPr>
    <w:r>
      <w:rPr>
        <w:noProof/>
        <w:sz w:val="28"/>
        <w:szCs w:val="28"/>
      </w:rPr>
      <w:pict w14:anchorId="308BBE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862283" o:spid="_x0000_s2051" type="#_x0000_t75" style="position:absolute;left:0;text-align:left;margin-left:13pt;margin-top:-100.65pt;width:57.8pt;height:78.95pt;z-index:-251655168;mso-position-horizontal-relative:margin;mso-position-vertical-relative:margin" o:allowincell="f">
          <v:imagedata r:id="rId1" o:title="brasao3 (2)"/>
          <w10:wrap anchorx="margin" anchory="margin"/>
        </v:shape>
      </w:pict>
    </w:r>
  </w:p>
  <w:p w14:paraId="44B1D394" w14:textId="77777777" w:rsidR="00ED5D12" w:rsidRPr="00E1341E" w:rsidRDefault="00115574" w:rsidP="001F04F2">
    <w:pPr>
      <w:pStyle w:val="Legend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="Book Antiqua" w:hAnsi="Book Antiqua"/>
        <w:sz w:val="32"/>
        <w:szCs w:val="28"/>
      </w:rPr>
    </w:pPr>
    <w:r w:rsidRPr="00E1341E">
      <w:rPr>
        <w:rFonts w:ascii="Book Antiqua" w:hAnsi="Book Antiqua"/>
        <w:b/>
        <w:sz w:val="32"/>
        <w:szCs w:val="28"/>
        <w:u w:val="none"/>
      </w:rPr>
      <w:t xml:space="preserve">               </w:t>
    </w:r>
    <w:r w:rsidRPr="00E1341E">
      <w:rPr>
        <w:rFonts w:ascii="Book Antiqua" w:hAnsi="Book Antiqua"/>
        <w:b/>
        <w:sz w:val="32"/>
        <w:szCs w:val="28"/>
      </w:rPr>
      <w:t>PREFEITURA MUNICIPAL DE SANTA AMÉLIA</w:t>
    </w:r>
  </w:p>
  <w:p w14:paraId="750EBF89" w14:textId="77777777" w:rsidR="00E1341E" w:rsidRDefault="00115574" w:rsidP="00E1341E">
    <w:pPr>
      <w:pStyle w:val="Legend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left" w:pos="555"/>
        <w:tab w:val="left" w:pos="675"/>
        <w:tab w:val="center" w:pos="4535"/>
      </w:tabs>
      <w:jc w:val="center"/>
      <w:rPr>
        <w:rFonts w:ascii="Book Antiqua" w:hAnsi="Book Antiqua"/>
        <w:sz w:val="28"/>
        <w:szCs w:val="28"/>
        <w:u w:val="none"/>
      </w:rPr>
    </w:pPr>
    <w:r w:rsidRPr="00E1341E">
      <w:rPr>
        <w:rFonts w:ascii="Book Antiqua" w:hAnsi="Book Antiqua"/>
        <w:sz w:val="28"/>
        <w:szCs w:val="28"/>
        <w:u w:val="none"/>
      </w:rPr>
      <w:t>ESTADO DO PARANÁ</w:t>
    </w:r>
  </w:p>
  <w:p w14:paraId="51D6E4C1" w14:textId="77777777" w:rsidR="00ED5D12" w:rsidRPr="00E1341E" w:rsidRDefault="00115574" w:rsidP="00E1341E">
    <w:pPr>
      <w:pStyle w:val="Legend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left" w:pos="555"/>
        <w:tab w:val="left" w:pos="675"/>
        <w:tab w:val="center" w:pos="4535"/>
      </w:tabs>
      <w:jc w:val="center"/>
      <w:rPr>
        <w:rFonts w:ascii="Book Antiqua" w:hAnsi="Book Antiqua"/>
        <w:sz w:val="28"/>
        <w:szCs w:val="28"/>
        <w:u w:val="none"/>
      </w:rPr>
    </w:pPr>
    <w:r w:rsidRPr="00E1341E">
      <w:rPr>
        <w:rFonts w:ascii="Book Antiqua" w:hAnsi="Book Antiqua"/>
        <w:sz w:val="28"/>
        <w:szCs w:val="28"/>
        <w:u w:val="none"/>
      </w:rPr>
      <w:t>CNPJ Nº 76.235.746/0001-46</w:t>
    </w:r>
  </w:p>
  <w:p w14:paraId="3C128EDD" w14:textId="77777777" w:rsidR="00ED5D12" w:rsidRDefault="005C2710" w:rsidP="001F04F2">
    <w:pPr>
      <w:pStyle w:val="Legend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left" w:pos="3300"/>
        <w:tab w:val="center" w:pos="4535"/>
      </w:tabs>
      <w:rPr>
        <w:rFonts w:ascii="Book Antiqua" w:hAnsi="Book Antiqua"/>
        <w:sz w:val="28"/>
        <w:szCs w:val="32"/>
        <w:u w:val="none"/>
      </w:rPr>
    </w:pPr>
  </w:p>
  <w:p w14:paraId="2EFF8A74" w14:textId="77777777" w:rsidR="00ED5D12" w:rsidRPr="001F04F2" w:rsidRDefault="005C2710" w:rsidP="001F04F2">
    <w:pPr>
      <w:rPr>
        <w:sz w:val="2"/>
        <w:szCs w:val="2"/>
        <w:lang w:eastAsia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CFDD1" w14:textId="77777777" w:rsidR="00750654" w:rsidRDefault="005C2710">
    <w:pPr>
      <w:pStyle w:val="Cabealho"/>
    </w:pPr>
    <w:r>
      <w:rPr>
        <w:noProof/>
        <w:lang w:eastAsia="pt-BR"/>
      </w:rPr>
      <w:pict w14:anchorId="7C1066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862281" o:spid="_x0000_s2049" type="#_x0000_t75" style="position:absolute;left:0;text-align:left;margin-left:0;margin-top:0;width:61.75pt;height:84.35pt;z-index:-251657216;mso-position-horizontal:center;mso-position-horizontal-relative:margin;mso-position-vertical:center;mso-position-vertical-relative:margin" o:allowincell="f">
          <v:imagedata r:id="rId1" o:title="brasao3 (2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52"/>
    <w:rsid w:val="00115574"/>
    <w:rsid w:val="00287F52"/>
    <w:rsid w:val="003E5528"/>
    <w:rsid w:val="005C2710"/>
    <w:rsid w:val="006D36A0"/>
    <w:rsid w:val="0082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6572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F52"/>
    <w:pPr>
      <w:spacing w:after="200" w:line="276" w:lineRule="auto"/>
      <w:jc w:val="both"/>
    </w:pPr>
    <w:rPr>
      <w:rFonts w:ascii="Arial" w:eastAsia="Calibri" w:hAnsi="Arial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287F52"/>
    <w:pPr>
      <w:tabs>
        <w:tab w:val="center" w:pos="4252"/>
        <w:tab w:val="right" w:pos="8504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287F52"/>
  </w:style>
  <w:style w:type="paragraph" w:styleId="Legenda">
    <w:name w:val="caption"/>
    <w:basedOn w:val="Normal"/>
    <w:next w:val="Normal"/>
    <w:unhideWhenUsed/>
    <w:qFormat/>
    <w:rsid w:val="00287F52"/>
    <w:pPr>
      <w:spacing w:after="0" w:line="240" w:lineRule="auto"/>
      <w:jc w:val="left"/>
    </w:pPr>
    <w:rPr>
      <w:rFonts w:ascii="Zurich Cn BT" w:eastAsia="Times New Roman" w:hAnsi="Zurich Cn BT"/>
      <w:sz w:val="4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87F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7F52"/>
    <w:rPr>
      <w:rFonts w:ascii="Arial" w:eastAsia="Calibri" w:hAnsi="Arial" w:cs="Times New Roman"/>
      <w:sz w:val="24"/>
      <w:szCs w:val="20"/>
    </w:rPr>
  </w:style>
  <w:style w:type="character" w:customStyle="1" w:styleId="fontstyle01">
    <w:name w:val="fontstyle01"/>
    <w:basedOn w:val="Fontepargpadro"/>
    <w:rsid w:val="00287F5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287F5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F52"/>
    <w:pPr>
      <w:spacing w:after="200" w:line="276" w:lineRule="auto"/>
      <w:jc w:val="both"/>
    </w:pPr>
    <w:rPr>
      <w:rFonts w:ascii="Arial" w:eastAsia="Calibri" w:hAnsi="Arial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287F52"/>
    <w:pPr>
      <w:tabs>
        <w:tab w:val="center" w:pos="4252"/>
        <w:tab w:val="right" w:pos="8504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287F52"/>
  </w:style>
  <w:style w:type="paragraph" w:styleId="Legenda">
    <w:name w:val="caption"/>
    <w:basedOn w:val="Normal"/>
    <w:next w:val="Normal"/>
    <w:unhideWhenUsed/>
    <w:qFormat/>
    <w:rsid w:val="00287F52"/>
    <w:pPr>
      <w:spacing w:after="0" w:line="240" w:lineRule="auto"/>
      <w:jc w:val="left"/>
    </w:pPr>
    <w:rPr>
      <w:rFonts w:ascii="Zurich Cn BT" w:eastAsia="Times New Roman" w:hAnsi="Zurich Cn BT"/>
      <w:sz w:val="4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87F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7F52"/>
    <w:rPr>
      <w:rFonts w:ascii="Arial" w:eastAsia="Calibri" w:hAnsi="Arial" w:cs="Times New Roman"/>
      <w:sz w:val="24"/>
      <w:szCs w:val="20"/>
    </w:rPr>
  </w:style>
  <w:style w:type="character" w:customStyle="1" w:styleId="fontstyle01">
    <w:name w:val="fontstyle01"/>
    <w:basedOn w:val="Fontepargpadro"/>
    <w:rsid w:val="00287F5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287F5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814</Words>
  <Characters>4400</Characters>
  <Application>Microsoft Office Word</Application>
  <DocSecurity>0</DocSecurity>
  <Lines>36</Lines>
  <Paragraphs>10</Paragraphs>
  <ScaleCrop>false</ScaleCrop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Centrium</cp:lastModifiedBy>
  <cp:revision>3</cp:revision>
  <dcterms:created xsi:type="dcterms:W3CDTF">2023-12-29T19:33:00Z</dcterms:created>
  <dcterms:modified xsi:type="dcterms:W3CDTF">2023-12-29T19:40:00Z</dcterms:modified>
</cp:coreProperties>
</file>